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D-1647/2022 vom 29. März 2022</w:t>
      </w:r>
    </w:p>
    <w:p>
      <w:r>
        <w:t>Bundesverwaltungsgericht, 2022-03-29, DE</w:t>
      </w:r>
    </w:p>
    <w:p>
      <w:r>
        <w:rPr>
          <w:b/>
        </w:rPr>
        <w:t xml:space="preserve">Quelle: </w:t>
      </w:r>
      <w:r>
        <w:t>https://mcp.opencaselaw.ch/entscheid/bvger_D-1647_2022_d20220329</w:t>
      </w:r>
    </w:p>
    <w:p>
      <w:r>
        <w:t>FR: TAF D-1647/2022 du 29 mars 2022</w:t>
      </w:r>
    </w:p>
    <w:p>
      <w:r>
        <w:t>IT: TAF D-1647/2022 del 29 marzo 2022</w:t>
      </w:r>
    </w:p>
    <w:p>
      <w:pPr>
        <w:pStyle w:val="Heading2"/>
      </w:pPr>
      <w:r>
        <w:t>Regeste</w:t>
      </w:r>
    </w:p>
    <w:p>
      <w:r>
        <w:t>Nichteintreten auf Asylgesuch und Wegweisung (Dublin-Verfahren) | Nichteintreten auf Asylgesuch und Wegweisung (Dublin-Verfahren); Verfügung des SEM vom 29. März 2022</w:t>
      </w:r>
    </w:p>
    <w:p>
      <w:pPr>
        <w:pStyle w:val="Heading2"/>
      </w:pPr>
      <w:r>
        <w:t>Erwägungen</w:t>
      </w:r>
    </w:p>
    <w:p>
      <w:r>
        <w:rPr>
          <w:b/>
        </w:rPr>
        <w:t>E. 18</w:t>
      </w:r>
    </w:p>
    <w:p>
      <w:r>
        <w:t>Oktober 2021 E. 9.2 sowie E- 962/2019 vom 17. Dezember 2019 E. 6.3, vgl. auch Urteil D-2846/2020 vom 16. Juli 2020 E. 6.1), dass die allgemeinen Ausführungen in der Beschwerde zum italienischen Asylsystem an dieser Einschätzung nichts zu ändern vermögen,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die Beschwerdeführenden mit ihrem Vorbringen der mangelnden fa- miliengerechten Unterbringung und medizinischen Versorgung in Italien implizit die Anwendung von Art. 17 Abs. 1 Dublin-III-VO respektive Art. 29a Abs. 3 AsylV 1 fordern, dass sich das Gericht in diesem Zusammenhang auf die Prüfung zu be- schränken hat, ob die Vorinstanz ihr Ermessen gesetzeskonform ausgeübt hat,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w:t>
      </w:r>
    </w:p>
    <w:p>
      <w:r>
        <w:t>D-1647/2022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die Beschwerdeführenden mit Hinweis auf das Urteil des Europäi- schen Gerichtshofs für Menschenrechte Tarakhel gegen die Schweiz vom 4. November 2014 geltend machen, es bestehe keine ausreichende Ga- rantie für eine altersgerechte Beherbergung für die Kinder sowie die Ach- tung der Einheit der Familie, was sich auch durch die formale Aufhebung des sogenannten «Salvini-Dekrets» mit den damit verbundenen Restrikti- onen für Schutzsuchende nicht geändert habe, dass das Bundesverwaltungsgericht mit dem Referenzurteil F-6330/2020 vom 18. Oktober 2021 (E. 11.3) entschied, dass eine Zusicherung, wie sie in diesem Verfahren aufgrund des Schreibens der italienischen Behörden vom 14. Februar 2022 vorliegt, als ausreichende Garantie im Sinne der Rechtsprechung des Bundesverwaltungsgerichts und des EGMR gilt, dass die Beschwerdeführenden kein konkretes und ernsthaftes Risiko dar- getan haben, die italienischen Behörden würden sich weigern sie wieder aufzunehmen und ihren Antrag auf internationalen Schutz unter Einhaltung der Regeln der erwähnten Richtlinien zu prüfen, dass den Akten auch keine Gründe für die Annahme zu entnehmen sind, Italien werde in ihrem Fall den Grundsatz des Non-Refoulement missach- 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 merichtlinie zustehenden minimalen Lebensbedingungen vorenthalten, und sie sich bei einer vorübergehenden Einschränkung im Übrigen nöti- genfalls an die italienischen Behörden wenden und die ihnen zustehenden Aufnahmebedingungen auf dem Rechtsweg einfordern könnten (vgl. Art. 26 Aufnahmerichtlinie),</w:t>
      </w:r>
    </w:p>
    <w:p>
      <w:r>
        <w:t>D-1647/2022 Seite 7 dass auch die geltend gemachten gesundheitlichen Probleme offensicht- lich nicht geeignet sind, ein individuelles Überstellungsverbot zu begrün- den, dass das Bundesverwaltungsgericht in seinem Referenzurteil E-962/2019 zwar strengere Kriterien für Dublin-Überstellungen von schwer erkrankten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dass eine solche Situation hier jedoch offenkundig nicht vorliegt, dass die Beschwerdeführerin in der Schweiz medizinisch untersucht wurde und neben der medikamentösen Behandlung kein dringender Behand- lungsbedarf besteht, dass dies – wie erwähnt – auch auf die beiden älteren Kinder zutrifft, wobei deren psychischen Probleme nur allgemein erwähnt und auch in der Be- schwerde nicht weiter konkretisiert werden und somit nicht nachgewiesen sind, dass das SEM im Übrigen richtig festgestellt hat, Italien verfüge grundsätz- lich über eine ausreichende medizinische Infrastruktur (vgl. Urteile des BVGer F-1025/2022 vom 9. März 2022 E. 5.3.2; D-869/2022 vom 1. März 2022), dass schliesslich auch der allgemeine Hinweis in der Beschwerde auf die Situation der Kinder und die Kinderrechtskonvention mangels konkreter Hinweise am Gesagten nichts zu ändern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w:t>
      </w:r>
    </w:p>
    <w:p>
      <w:r>
        <w:t>D-1647/2022 Seite 8 und – weil die Beschwerdeführenden nicht im Besitz einer gültigen Aufent- halts- oder Niederlassungsbewilligung sind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D-1647/2022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