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D-163/2015 vom 29. Mai 2015</w:t>
      </w:r>
    </w:p>
    <w:p>
      <w:r>
        <w:t>Bundesverwaltungsgericht, 2015-05-29, DE</w:t>
      </w:r>
    </w:p>
    <w:p>
      <w:r>
        <w:rPr>
          <w:b/>
        </w:rPr>
        <w:t xml:space="preserve">Quelle: </w:t>
      </w:r>
      <w:r>
        <w:t>https://mcp.opencaselaw.ch/entscheid/bvger_D-163_2015</w:t>
      </w:r>
    </w:p>
    <w:p>
      <w:r>
        <w:t>FR: TAF D-163/2015 du 29 mai 2015</w:t>
      </w:r>
    </w:p>
    <w:p>
      <w:r>
        <w:t>IT: TAF D-163/2015 del 29 maggio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sowie Art. 52 Abs. 1 VwVG). Auf die Beschwerde ist einzutreten.</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Mit Beschwerde im Geltungsbereich des AsylG kann die Verletzung von Bundesrecht (einschliesslich Missbrauch und Überschreiten des Ermessens) sowie die unrichtige und unvollständige Feststellung des rechtserheblichen Sachverhalts gerügt werden (Art. 106 Abs. 1 AsylG). Soweit den Wegweisungsvollzug betreffend (Art. 83 Abs. 1-4 AuG [SR 142.20]), kann zudem die Unangemessenheit gerügt werden (Art. 37 VGG i.V.m.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3.1.1</w:t>
      </w:r>
    </w:p>
    <w:p>
      <w:r>
        <w:t>Wer um Asyl nachsucht, muss gemäss Art. 7 AsylG die Flüchtlingseigenschaft nachweisen oder zumindest glaubhaft machen. 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2012/5 E. 2.2 S. 43 f., BVGE 2010/57 E. 2.3 S. 826 f.).</w:t>
      </w:r>
    </w:p>
    <w:p>
      <w:r>
        <w:rPr>
          <w:b/>
        </w:rPr>
        <w:t>E. 4.1</w:t>
      </w:r>
    </w:p>
    <w:p>
      <w:r>
        <w:t>Vorab ist festzuhalten, dass der Beschwerdeführer die Verständigung mit dem Dolmetscher anlässlich der BzP als sehr gut respektive gut bezeichnete und bei der Anhörung ausführte, diesen sicher zu verstehen (vgl. A 5 S. 2 und 8; A 12 S. 1). Ferner sind den jeweiligen Protokollen keine Anhaltspunkte zu entnehmen, wonach der Beschwerdeführer nicht in der Lage gewesen wäre, den Befragungen zu folgen, oder die Befragungssituationen aufgrund eines unstimmigen oder unkorrekten Verlaufs Anlass zu Beanstandungen hätte geben können. Bei der BzP verneinte er die Frage nach allfälligen Zusatzbemerkungen ausdrücklich und bei der Anhörung erklärte er, sämtliche Gründe erwähnt zu haben, die gegen eine Rückkehr ins Heimatland sprechen würden. Sodann bestätigte er die Richtigkeit (BzP) und Vollständigkeit (Anhörung) der jeweiligen Protokolle, welche grundsätzlich die gleichen ausreiseauslösenden Beweggründe des Beschwerdeführers aus dem Heimatland aufweisen. Von daher gesehen ist der Einwand der ungenügenden Übersetzung in der Rechtsmitteleingabe, welcher sich auf die bei der Anhörung anwesende Hilfswerkvertretung und ihre auf dem Beiblatt festgehaltenen Beobachtungen zur Anhörung stützt (sehr undeutliches Deutsch des Dolmetschers, was das Zuhören und Protokollieren erschwere) stark zu relativieren (vgl. auch nachstehend E. 4.2).</w:t>
      </w:r>
    </w:p>
    <w:p>
      <w:r>
        <w:rPr>
          <w:b/>
        </w:rPr>
        <w:t>E. 4.2</w:t>
      </w:r>
    </w:p>
    <w:p>
      <w:r>
        <w:t>Unter Angabe der jeweiligen Fundstellen in den Protokollen zeigte die Vorinstanz in der angefochtenen Verfügung die diversen Unglaubhaftigkeitselemente in den Aussagen des Beschwerdeführers auf. Eine Überprüfung durch das Bundesverwaltungsgericht ergibt sodann, dass diese in den Akten Stütze finden. Dem Beschwerdeführer ist zwar zuzustimmen, dass gewisse Unstimmigkeiten entweder überbewertet wurden oder sich ausräumen lassen. Indes vermögen diese Begründungselemente aufgrund ihres marginalen Charakters im Rahmen einer Gesamtwürdigung keinen entscheidenden Einfluss auf das Urteil auszuüben. So ist zwar die Argumentation in der Rechtsmitteleingabe im Zusammenhang mit dem Beitrittsjahr des Beschwerdeführers zur JI-Partei (Beitrittsjahr 1 oder Beitrittsjahr 2) - er sei im Jahre (Beitrittsjahr 1) knapp zehn Jahre alt gewesen - nicht von der Hand zu weisen. Der Zeitpunkt des Beitritts spielt aber insofern keine Rolle, als vorliegend die vom Beschwerdeführer geltend gemachten angeblich fluchtauslösenden Vorkommnisse seit dem Jahre 2010 einer Beurteilung bedürfen. Nichts zu seinen Gunsten abzuleiten vermag er mit den Ausführungen in der Beschwerde, wonach er im Zusammenhang mit der Anzeige beziehungsweise Anklage den diesbezüglichen Widerspruch anlässlich der Anhörung plausibel richtig gestellt habe. Mit Verweis auf die unterschriftliche Bestätigung des BzP-Protokolls hielt das BFM fest, dass die Antwort des Beschwerdeführers (mögliches Missverständnis mit dem Dolmetscher) nicht ganz befriedige, weshalb der entsprechende Widerspruch nicht gänzlich aufgelöst werden konnte. Der Hinweis auf eine ungenügende Übersetzung anlässlich der Anhörung in der Rechtsmitteleingabe geht demnach fehl, wurde der Beschwerdeführer doch gerade anlässlich dieser Anhörung mit der Unstimmigkeit seiner Aussage gegenüber derjenigen bei der BzP konfrontiert und ihm die Möglichkeit eingeräumt, Klärung in diese Angelegenheit zu bringen. Da sich aus den Akten darüber hinaus keine näheren oder gar unumstösslichen Hinweise ergeben, dass dem Beschwerdeführer gerade daraus Nachteile asylrelevanten Ausmasses entstanden sind, kann die Qualifizierung dieses Begründungselements letztlich offen bleiben.</w:t>
      </w:r>
    </w:p>
    <w:p>
      <w:r>
        <w:rPr>
          <w:b/>
        </w:rPr>
        <w:t>E. 4.2.1</w:t>
      </w:r>
    </w:p>
    <w:p>
      <w:r>
        <w:t>Was die dem Beschwerdeführer vorgeworfene Widersprüchlichkeit hinsichtlich Zeitpunkt und Dauer der beiden geltend gemachten Inhaftierungen anbelangt, so kann, zur Vermeidung von Wiederholungen, auf die zutreffenden Ausführungen des BFM in der angefochtenen Verfügung verwiesen werden. In der Rechtsmitteleingabe werden die vom Beschwerdeführer unterschiedlich angegebenen Daten nicht bestritten und als Verwechslung dargestellt, weil er sich nur schwerlich beziehungsweise ungern an die Zeit im Gefängnis erinnern könne. Mit dieser pauschal abgegebenen Erklärung werden die dem Beschwerdeführer von der Vor­instanz zu diesem Sachverhaltskomplex vorgehaltenen Unstimmigkeiten jedoch keineswegs ausgeräumt oder beseitigt. Vielmehr ist zunächst festzustellen, dass lediglich zu einer Inhaftierung des Beschwerdeführers Ausführungen gemacht werden. Alsdann beschränken sich die diesbezüglichen Vorbringen bloss auf die Wiedergabe des von ihm bei den Befragungen Vorgebrachten respektive Protokollierten. Die abschliessende Argumentation hierzu gipfelt letztlich in der als unbehelflich zu qualifizierenden Aussage, eine Verwirrung bezüglich der Daten bestehe offensichtlich nicht nur beim Beschwerdeführer. Erwähnt werden muss in diesem Zusammenhang zudem, dass der Beschwerdeführer über regelmässigen Kontakt mit seiner Familie im Heimatland verfügt und es ihm daher zumutbar und möglich gewesen respektive leicht gefallen wäre, allfällige Unterlagen hinsichtlich der beiden angeblichen Inhaftierungen erhältlich zu machen (vgl. A 12 Fragen 81 ff. S. 9 und 10). Dies ergibt sich nicht nur aufgrund seiner Aussage anlässlich der BzP, wonach er "hierfür" Beweise beschaffen könne, sondern auch aufgrund der Antwort bei der Anhörung, wonach er anlässlich der beiden Gefängnisaufenthalte jeweils mit Hilfe eines Anwaltes und gegen Kaution freigekommen sein soll (vgl. A 5 S.7; A 12 Fragen 60, 61 und 67 S. 7 und 8). Ferner ist auch der Umstand nicht ausser Acht zu lassen, dass es der Beschwerdeführer seit seiner Einreise in die Schweiz unterlassen hat, irgendwelche zusätzlichen aufschlussreichen und sachdienlichen Hinweise zur behaupteten Gefährdungssituation ins Verfahren einzubringen, weshalb er die daraus resultierenden nachteiligen Konsequenzen in Eigenverantwortung zu tragen hat.</w:t>
      </w:r>
    </w:p>
    <w:p>
      <w:r>
        <w:rPr>
          <w:b/>
        </w:rPr>
        <w:t>E. 4.2.2</w:t>
      </w:r>
    </w:p>
    <w:p>
      <w:r>
        <w:t>Nicht verfängt die Argumentation in der Rechtsmitteleingabe, wonach der Beschwerdeführer eine posttraumatische Belastungsstörung (PTBS) aufgrund der Inhaftierungen erlitten habe, die mit massiver Gewalt seitens der Polizei beziehungsweise Behörden verbundenen gewesen seien. Er könne deshalb nur schwerlich über diese Zeit sprechen und sei sichtlich gehemmt und verbal blockiert, sobald die Inhaftierungen thematisiert würden. Auf dem Personalienblatt vermerkte der Beschwerdeführer, er habe keine medizinischen Probleme (vgl. A 1). Aus dem Protokoll der BzP geht nicht hervor, der Beschwerdeführer würde an gesundheitlichen Beeinträchtigungen leiden. Ebenfalls erwähnte er dort zu keinem Zeitpunkt, er wäre im Heimatland massiver Gewalt oder Folter seitens der Polizei, insbesondere während der beiden Gefängnisaufenthalte, ausgesetzt gewesen. Anlässlich der Anhörung wurde der Beschwerdeführer auf die wiederholt von ihm erwähnten medizinischen Behandlungen in der Schweiz angesprochen. Ausser den vom BFM in seiner Verfügung gewürdigten gesundheitlichen Beschwerden des Beschwerdeführers (vgl. Bst. E. hiervor) machte er bei der Anhörung indes keine psychischen Probleme (Traumatisierung) - wie in der Beschwerde angeführt - geltend. Ebenfalls unterliess es der Beschwerdeführer im Rahmen der Aufforderung zur Einreichung medizinischer Unterlagen hinsichtlich seines Gesundheitszustands, ein ärztliches Attest beizubringen, worin ihm psychische Schwierigkeiten, insbesondere eine PTBS aufgrund der angeblich erlittenen Verfolgungsmassnahmen im Heimatland, diagnostiziert worden wären. Angesichts dieser Sachlage braucht keine Zeit für das Nachreichen eines diesbezüglichen Arztzeugnisses (Beschwerde S. 4), einer in diesem Zusammenhang ohnehin erst noch aufzunehmenden psychologischen Behandlung, abgewartet zu werden.</w:t>
      </w:r>
    </w:p>
    <w:p>
      <w:r>
        <w:rPr>
          <w:b/>
        </w:rPr>
        <w:t>E. 4.2.3</w:t>
      </w:r>
    </w:p>
    <w:p>
      <w:r>
        <w:t>Die Vorinstanz erachtete die Ausführungen des Beschwerdeführers im Zusammenhang mit seinem fehlenden Wissen hinsichtlich des Erfordernisses einer Bewilligung für die Durchführung einer Demonstration, einer Kernaufgabe seines Engagements zugunsten der JI, als unglaubhaft. In der Rechtsmitteleingabe wird den vorinstanzlichen Erwägungen unter anderem dahin begegnet, als der Beschwerdeführer keine hohe Funktion in der Partei inne gehabt und die Frage der Bewilligung zum Aufgabenbereich der Leitung gehört habe. Entgegen der vertretenen Sichtweise in der Beschwerde ist festzuhalten, dass der Beschwerdeführer zwar kein hochrangiges, aber langjähriges Parteimitglied sein soll. Immer wenn es etwas zu organisieren gegeben habe oder ein Befehl von oben gekommen sei, habe er das organisieren müssen. Er habe unzählige Male Sachen für die Partei gemacht, da die grossen Leiter nicht selber arbeiten würden, sondern die Arbeiten durch alle anderen erledigt werden müssten. Zum zeitlichen Umfang seines Engagements für die Partei führte er aus, es habe Tage gegeben, an denen er von morgens früh bis am Abend oder auch bloss zwei Stunden mit der JI beschäftigt gewesen sei (vgl. A 12 Fragen 25 ff. S. 4 und 5). Auf die Frage im Zusammenhang mit der Organisation der Demonstration, bei der ein Polizeiinspektor geschlagen worden sei, gab der Beschwerdeführer explizit zu Protokoll, zusammen mit noch ein paar weiteren Kollegen die Demonstration organisiert zu haben (vgl. A 12 Frage 33 S. 5). Vor diesem Hintergrund und in Berücksichtigung zahlreicher weiterer unsubstanziierter Antworten des Beschwerdeführers anlässlich der Anhörung, erweisen sich die in diesem Zusammenhang in der Rechtsmitteleingabe gemachten Vorbringen als unbegründet. Es sei lediglich ergänzend noch vermerkt, dass der Beschwerdeführer über eine ausgezeichnete Schulbildung verfügt und aufgrund des Wohlstands der Familie, die Ländereien des Vaters nicht selber zu bewirtschaften brauchte, sondern sich um die betrieblichen Belange in diesem Zusammenhang kümmerte. Unter diesem Blickwinkel betrachtet gewinnen die diversen ihm vorgeworfenen Unglaubhaftigkeitselemente noch mehr an Bedeutung respektive Gewicht (vgl. A 12 Fragen 18 ff. S. 3). Insbesondere gehen nach dem Gesagten die Hinweise auf das Urteil des Bundesverwaltungsgerichts D-6923/2008 vom 5. August 2010 E. 6.7 sowie das Zitat von Samuel Werenfels, Der Begriff des Flüchtlings im schweizerischen Asylrecht, Bern 1987, S. 135, fehl beziehungsweise der Beschwerdeführer vermag daraus nichts zu seinen Gunsten abzuleiten. So enthalten die entsprechenden Ausführungen im erwähnten Urteil zusammenfassend die sich auf die Rechtsprechung zur Glaubhaftigkeit stützenden Schlussfolgerungen zu den konkreten Umständen des dort zu beurteilenden Falls, welcher aber nicht mit dem vorliegenden vergleichbar ist. Gleichermassen verhält es sich mit dem nicht konkret auf den vorliegenden Fall bezogenen Zitat aus der Rechtsliteratur. Im Rahmen einer Gesamtwürdigung gelangt das Bundesverwaltungsgericht zum Schluss, dass die Vorbringen des Beschwerdeführers zu der von ihm behaupteten Verfolgungssituation den Anforderungen an die Glaubhaftigkeit gemäss Art. 7 AsylG nicht genügen und in Berücksichtigung sämtlicher relevanten Umstände gar den Eindruck einer konstruierten Geschichte erwecken. Diese Einschätzung gründet nicht zuletzt auch in der aufschlussreichen Antwort des Beschwerdeführers anlässlich der BzP, wo er unter anderem ausführte, wenn er hier bleiben könne, dann könne er seine Familie unterstützen respektive die Schweizer Behörden (Anmerkung des Gerichts) sollen für ihn etwas dafür tun (A 5 S. 8).</w:t>
      </w:r>
    </w:p>
    <w:p>
      <w:r>
        <w:rPr>
          <w:b/>
        </w:rPr>
        <w:t>E. 4.3</w:t>
      </w:r>
    </w:p>
    <w:p>
      <w:r>
        <w:t>Gemäss Artikel 62 Abs. 4 VwVG bindet die Begründung der Begehren die Beschwerdeinstanz in keinem Falle. Den Streitgegenstand legen die Parteien, namentlich der Beschwerdeführer mit dem Rechtsbegehren (Antrag) und der zugehörigen Sachverhaltsdarstellung für den Richter respektive das Bundesverwaltungsgericht verbindlich fest. Der Grundsatz der Rechtsanwendung von Amtes wegen beschlägt lediglich die rechtlichen Überlegungen, welche die Parteien zur Begründung ihrer Anträge vortragen. Das Bundesverwaltungsgericht ist demzufolge verpflichtet, auf den festgestellten Sachverhalt den Rechtssatz anzuwenden, den es als den richtigen ansieht und ihm auch die Auslegung zu geben, von der es überzeugt ist. Das Prinzip verhindert, dass den Parteien Rechtsunkenntnis schadet. Das Gericht soll nicht gezwungen sein, falsche Rechtsauffassungen der Parteien zu übernehmen. Darin ist die Substitution der Motive inbegriffen, vermittelst deren eine im Ergebnis richtige, aber falsch begründete Verfügung mit andern rechtlichen Überlegungen bestätigt wird. Rechtsanwendung von Amtes wegen erlaubt nicht, über den Streitgegenstand hinweg den gesetzlichen Zustand herstellen oder wiederherstellen zu wollen (vgl. zum Ganzen Kölz/Häner/Bertschi, Verwaltungsverfahren und Verwaltungsrechtspflege des Bundes, 3. Aufl. 2013 Rz. 154 ff. S. S. 53 f. sowie Rz. 1136 S. 398; Thomas Häberli in: Waldmann/Weissenberger (Hrsg.), Praxiskommentar VwVG, 2009, Art. 62 N 37 ff. S. 1249 f.; Madeleine Camprubi, in: Auer/Müller/Schindler (Hrsg.), Kommentar VwVG, 2008, Art. 62 Rz. 15 S. 798 f.; Fritz Gygi, Bundesverwaltungsrechtspflege, 2. Aufl., Bern 1983, S. 211 ff.; BVGE 2007/41 E. 2 S. 529 f.). Nach dem Gesagten kann auf eine Beurteilung der vorinstanzlichen Erwägungen in der angefochtenen Verfügung im Zusammenhang mit der Asylrelevanz einiger Aspekte des vom Beschwerdeführer vorgebrachten Sachverhalts (II/Ziff. 3 und 4 S. 4 f.) verzichtet werden.</w:t>
      </w:r>
    </w:p>
    <w:p>
      <w:r>
        <w:rPr>
          <w:b/>
        </w:rPr>
        <w:t>E. 4.4</w:t>
      </w:r>
    </w:p>
    <w:p>
      <w:r>
        <w:t>Zusammenfassend ist festzustellen, dass der Beschwerdeführer nicht darzutun vermochte, dass er einer Verfolgung im Sinne von Art. 3 AsylG ausgesetzt war oder begründete Furcht hat, einer solchen aus­gesetzt werden zu können. Er kann daher nicht als Flüchtling aner­kannt werden. Die Vorinstanz hat das Asylgesuch des Beschwerdefüh­rers demnach zu Recht abgelehnt. Der nicht näher begründete Subeventualantrag auf Rückweisung der Sache zur hinreichenden Abklärung des rechtserheblichen Sachverhalts an die Vorinstanz ist nach dem Gesagten (vgl. auch E. 4.1, insbesondere E. 4.2.2) abzuweisen.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In Bangladesch herrscht zurzeit kein Krieg, kein Bürgerkrieg und keine Situation allgemeiner Gewalt, weshalb unter diesem Aspekt von der generellen Zumutbarkeit des Wegweisungsvollzugs in dieses Land aus-zugehen ist. Ferner hat die Vorinstanz in der angefochtenen Verfügung nebst dem Hinweis auf die Rechtsprechung (BVGE 2010/8) ausführlich und eingehend die vom Beschwerdeführer geltend gemachten gesundheitlichen Beeinträchtigungen (Krankheitsbilder) sowie allfällige weitere in seiner Person liegende Gründe, die einem Wegweisungsvollzug entgegenstehen könnten, unter dem Zumutbarkeitsaspekt gewürdigt. In der Beschwerde nimmt er dazu keine Stellung, sondern lässt es beim blossen Zitieren der gesetzlichen Bestimmungen (Art. 44 Abs. 2 AsylG und Art. 83 Abs. 4 AuG) bewenden. Angesichts dieser Sachlage rechtfertigt es sich, zur Vermeidung von Wiederholungen, auf die diesbezüglich nicht zu beanstanden Ausführungen der Vorinstanz in der angefochtenen Verfügung zu verweisen (III/Ziff. 2, 3, und 4 S.5 und 6). Ihnen ist nichts mehr hinzuzufügen. Nach dem Gesagten erweist sich der Vollzug der Wegweisung auch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auch sonst nicht zu beanstanden ist. Die Beschwerde ist abzuweisen.</w:t>
      </w:r>
    </w:p>
    <w:p>
      <w:r>
        <w:rPr>
          <w:b/>
        </w:rPr>
        <w:t>E. 8.1</w:t>
      </w:r>
    </w:p>
    <w:p>
      <w:r>
        <w:t>Mit dem vorliegenden Entscheid in der Sache selbst ist das Gesuch um Verzicht auf die Erhebung eines Kostenvorschusses gegenstandslos geworden.</w:t>
      </w:r>
    </w:p>
    <w:p>
      <w:r>
        <w:rPr>
          <w:b/>
        </w:rPr>
        <w:t>E. 8.2</w:t>
      </w:r>
    </w:p>
    <w:p>
      <w:r>
        <w:t>Bei diesem Ausgang des Verfahrens wären die Kosten dem Beschwer­deführer aufzuerlegen (Art. 63 Abs. 1 und 5 VwVG). Da der Beschwerdeführer indes gemäss den vorliegenden Akten aktuell nicht erwerbstätig ist, kann davon ausgegangen werden, dass er prozessual bedürftig ist. Gleichzeitig müssen die Beschwerdebegehren als im Zeitpunkt der Einreichung als nicht aussichtslos bezeichnet werden. Demnach ist das Gesuch um Gewährung der unentgeltlichen Rechtspflege im Sinne von Art. 65 Abs. 1 VwVG gutzuheissen und auf die Erhebung von Verfahrenskosten zu verzichten. Trotz Unterliegens des Beschwerdeführers sind demzufolge keine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