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D-1623/2010 vom 16. April 2010</w:t>
      </w:r>
    </w:p>
    <w:p>
      <w:r>
        <w:t>Bundesverwaltungsgericht, 2010-04-16, DE</w:t>
      </w:r>
    </w:p>
    <w:p>
      <w:r>
        <w:rPr>
          <w:b/>
        </w:rPr>
        <w:t xml:space="preserve">Quelle: </w:t>
      </w:r>
      <w:r>
        <w:t>https://mcp.opencaselaw.ch/entscheid/bvger_D-1623_2010</w:t>
      </w:r>
    </w:p>
    <w:p>
      <w:r>
        <w:t>FR: TAF D-1623/2010 du 16 avril 2010</w:t>
      </w:r>
    </w:p>
    <w:p>
      <w:r>
        <w:t>IT: TAF D-1623/2010 del 16 aprile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Zwischenverfügung des Bundesverwaltungsgerichts vom 19. März 2010 festgehalten wurde, richtet sich die Beschwerde nur gegen den Vollzug der von der Vorinstanz verfügten Wegweisung (Dispositivziffern 3 und 4 der angefochtenen Verfügung). Somit ist die vorinstanzliche Verfügung vom 16. Februar 2010 bezüglich der in den Dispositivziffern 1 und 2 dieser Verfügung enthaltenen Feststellungen in Rechtskraft erwachsen. Im Folgenden ist daher lediglich zu untersuchen, ob die Vorinstanz den Wegweisungsvollzug zu Recht als durchführbar erachtet hat oder ob allenfalls an Stelle des Vollzugs eine vorläufige Aufnahme anzuordnen ist.</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möglich, wenn der Ausländer weder in den Herkunfts- oder in den Heimatstaat noch in einen Drittstaat ausreisen oder dorthin gebracht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4.3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und Art. 25 Abs. 2 der Bundesverfassung der Schweizerischen Eidgenossenschaft vom 18. April 1999 (BV, SR 101).</w:t>
      </w:r>
    </w:p>
    <w:p>
      <w:r>
        <w:rPr>
          <w:b/>
        </w:rPr>
        <w:t>E. 4.4</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w:t>
      </w:r>
    </w:p>
    <w:p>
      <w:r>
        <w:rPr>
          <w:b/>
        </w:rPr>
        <w:t>E. 4.5</w:t>
      </w:r>
    </w:p>
    <w:p>
      <w:r>
        <w:t>Die Vorinstanz wies in ihrer angefochtenen Verfügung zutreffend darauf hin, dass der Grundsatz der Nichtrückschiebung nur Personen schützt, die die Flüchtlingseigenschaft erfüllen. Da es dem Beschwerdeführer - wie rechtskräftig feststeht - nicht gelungen ist, eine asylrechtlich erhebliche Gefährdung nachzuweisen oder glaubhaft zu machen, kann das in Art. 5 AsylG verankerte Prinzip des flüchtlingsrechtlichen Non-Refoulements im vorliegenden Verfahren keine Anwendung finden. Eine Rückführung des Beschwerdeführers in seinen Heimatstaat ist demnach unter dem Aspekt von Art. 5 AsylG rechtmässig.</w:t>
      </w:r>
    </w:p>
    <w:p>
      <w:r>
        <w:rPr>
          <w:b/>
        </w:rPr>
        <w:t>E. 5</w:t>
      </w:r>
    </w:p>
    <w:p>
      <w:r>
        <w:t>Im Folgenden bleibt zu prüfen, ob die Wegweisung des Beschwerdeführers nach Algerien vollzogen werden kann oder ob stattdessen die vorläufige Aufnahme anzuordnen ist. In diesem Zusammenhang ist festzustellen, dass die unter Erwägung 4.1 einleitend erwähnten drei Vollzugshindernisse - Unzulässigkeit, Unzumutbarkeit und Unmöglichkeit - alternativer Natur sind: Ist eine dieser Voraussetzungen erfüllt, so ist der Vollzug der Wegweisung als undurchführbar zu erachten und die weitere Anwesenheit in der Schweiz gemäss den Bestimmungen über die vorläufige Aufnahme zu regeln (vgl. die zutreffenden und weiterhin gültigen Ausführungen in Entscheidungen und Mitteilungen der Schweizerischen Asylrekurskommission [EMARK] 2001 Nr. 1 E. 6a S. 2, EMARK 2006 Nr. 6 E. 4.2 S. 54 f.).</w:t>
      </w:r>
    </w:p>
    <w:p>
      <w:r>
        <w:rPr>
          <w:b/>
        </w:rPr>
        <w:t>E. 5.1</w:t>
      </w:r>
    </w:p>
    <w:p>
      <w:r>
        <w:t>Weder aus den Aussagen des Beschwerdeführers noch aus den Akten ergeben sich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Dies kann indessen dem Beschwerdeführer in casu nicht gelingen, weil er sich nicht auf begründete Furcht vor dem ihn angeblich bedrohenden Onkel, den er nach eigenen Angaben sechs Jahre vor seiner Ausreise aus dem Heimatstaat zum letzten Mal gesehen hat (A15/14 S. 10), berufen kann, muss er sich doch nicht an seinem ursprünglichen Herkunftsort in M._______ niederlassen, wo er gegebenenfalls ohne grössere Schwierigkeiten aufzuspüren wäre. Er hat vielmehr die Möglichkeit, sich wieder an seinem letzten Wohnsitz vor der Ausreise, in der Metropolregion Algier, in der zum einen mehrere Millionen Menschen leben und zum anderen die Staatsmacht stärker vertreten ist, niederzulassen, weshalb in Wirklichkeit keine konkrete Gefahr ersichtlich ist, wonach ihm im Falle einer Rückschaffung Folter oder unmenschliche Behandlung drohen würde. Des Weiteren lässt die allgemeine Menschenrechtssituation im Heimatstaat den Wegweisungsvollzug zum heutigen Zeitpunkt klarerweise nicht als unzulässig erscheinen. Nach dem Gesagten ist der Vollzug der Wegweisung sowohl im Sinne der asyl- als auch der völkerrechtlichen Bestimmungen zulässig.</w:t>
      </w:r>
    </w:p>
    <w:p>
      <w:r>
        <w:rPr>
          <w:b/>
        </w:rPr>
        <w:t>E. 5.2</w:t>
      </w:r>
    </w:p>
    <w:p>
      <w:r>
        <w:t>Aus humanitären Gründen, nicht in Erfüllung völkerrechtlicher Pflichten der Schweiz, wird auf den Vollzug der Wegweisung verzichtet, wenn die Rückkehr in den Heimatstaat für den Betroffenen eine konkrete Gefährdung darstellt und aus diesem Grund nicht zumutbar ist. Eine solche Gefährdung kann angesichts der im Heimatland herrschenden allgemeinen politischen Lage, die sich durch Krieg, Bürgerkrieg oder durch eine Situation allgemeiner Gewalt kennzeichnet, oder aufgrund anderer Gefahrenmomente, wie beispielsweise aufgrund einer medizinischen Notlage (vgl. Art. 83 Abs. 4 AuG), angenommen werden (vgl. Botschaft zum Bundesbeschluss über das Asylverfahren vom 22. Juni 1990, BBl 1990 II 668).</w:t>
      </w:r>
    </w:p>
    <w:p>
      <w:r>
        <w:rPr>
          <w:b/>
        </w:rPr>
        <w:t>E. 5.3</w:t>
      </w:r>
    </w:p>
    <w:p>
      <w:r>
        <w:t>In casu deuten weder die allgemeine Lage im Heimat- beziehungsweise Herkunftsstaat des Beschwerdeführers noch individuelle Gründe auf eine konkrete Gefährdung im Falle einer Rückkehr nach Algerien hin, weshalb der Vollzug der Wegweisung zumutbar ist.</w:t>
      </w:r>
    </w:p>
    <w:p>
      <w:r>
        <w:rPr>
          <w:b/>
        </w:rPr>
        <w:t>E. 5.4</w:t>
      </w:r>
    </w:p>
    <w:p>
      <w:r>
        <w:t>Wie sich aus den Vorbringen des Beschwerdeführers ergibt, lebte er vor seiner Ausreise aus dem Heimatstaat mehr als drei Jahre in Algier, verdiente dort - nach eigenen Angaben von seinem 14. Lebensjahr an (A9/24 S. 1 und 13) - seinen Lebensunterhalt bei verschiedenen Arbeitgebern und war in der Lage, sich die Kosten für die Reise in die Schweiz aus eigener Kraft zu erarbeiten (A15/14 S. 4, A9/24 S. 3). Mittlerweile ist er selbst nach eigenen Angaben volljährig geworden, weshalb der Schluss naheliegt, es werde ihm nach seiner Rückkehr nicht zuletzt dank seines in Algier aufgebauten Beziehungsnetzes (A9/24 S. 1 und 13, A15/14 S. 9, A44/7 S. 3) ohne weiteres wieder gelingen, sich dort eine neue wirtschaftliche Existenz aufzubauen. Diese Aufgabe dürfte ihm umso leichter fallen, als er bereits als Verkäufer gearbeitet hat (A44/7 S. 2). Der Neuaufbau seiner wirtschaftlichen Existenz scheint auch nicht aus medizinischen Gründen gefährdet zu sein, gelang es ihm doch, sich für den 7. April 2010 einen Operationstermin einräumen zu lassen, obwohl der beratende Oberarzt von dieser - wohl nicht risikolosen - Operation eigentlich abgeraten hatte (Beschwerdebeilage 2). Indessen bestand der nach eigenen Angaben von der Caritas beratene (A44/7 S. 5) Beschwerdeführer trotzdem auf den riskanten Eingriff; falls dieser plangemäss vorgenommen wurde, kann dem Beschwerdeführer auf Begehren hin im Rahmen medizinischer Rückkehrhilfe eine allenfalls noch notwendige Nachbehandlung in Algier ermöglicht werden. Auch bezüglich der von ihm anscheinend erst Ende 2009 wahrgenommenen psychischen Probleme ist kein weiterer Aufenthalt in der Schweiz erforderlich. Vielmehr ist es dem Beschwerdeführer zuzumuten, diese im Heimatstaat behandeln zu lassen. 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3. April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