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D-1622/2017 vom 21. April 2017</w:t>
      </w:r>
    </w:p>
    <w:p>
      <w:r>
        <w:t>Bundesverwaltungsgericht, 2017-04-21, DE</w:t>
      </w:r>
    </w:p>
    <w:p>
      <w:r>
        <w:rPr>
          <w:b/>
        </w:rPr>
        <w:t xml:space="preserve">Quelle: </w:t>
      </w:r>
      <w:r>
        <w:t>https://mcp.opencaselaw.ch/entscheid/bvger_D-1622_2017</w:t>
      </w:r>
    </w:p>
    <w:p>
      <w:r>
        <w:t>FR: TAF D-1622/2017 du 21 avril 2017</w:t>
      </w:r>
    </w:p>
    <w:p>
      <w:r>
        <w:t>IT: TAF D-1622/2017 del 21 aprile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BVGE 2012/32 E. 5.1 S. 598 sowie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4.2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5.1</w:t>
      </w:r>
    </w:p>
    <w:p>
      <w:r>
        <w:t>Das SEM kam in der angefochtenen Verfügung vom 17. Februar 2017 zum Schluss, dass die Voraussetzungen für eine Familienzusammenführung nicht gegeben seien. Nach Prüfung der Akten erachtet das Bundesverwaltungsgericht diese Einschätzung als rechtmässig. Zur Vermeidung von Wiederholungen ist somit auf die nicht zu beanstandenden Erwägungen des SEM in der angefochtenen Verfügung zu verweisen.</w:t>
      </w:r>
    </w:p>
    <w:p>
      <w:r>
        <w:rPr>
          <w:b/>
        </w:rPr>
        <w:t>E. 5.2</w:t>
      </w:r>
    </w:p>
    <w:p>
      <w:r>
        <w:t>Die Ausführungen in der Beschwerdeeingabe vermögen keine andere, zugunsten des Beschwerdeführers ausfallende Beurteilung herbeizuführen. Den vorinstanzlichen Erwägungen wird in der Rechtsmitteleingabe nichts Substantielles entgegengesetzt. Die diesbezüglichen Ausführungen gehen inhaltlich nicht über die im vorinstanzlichen Verfahren gemachten, insbesondere diejenigen im Rahmen des rechtlichen Gehörs abgegebenen Aussagen hinaus, welche vom SEM - wie unter E. 5.1 erwähnt - gewürdigt wurden und durch das Bundesverwaltungsgericht Bestätigung erfahren. Ergänzend zur vorinstanzlichen Argumentation sei lediglich noch hinzugefügt, dass der Beschwerdeführer auch im Rubrum der Beschwerde das Geburtsjahr seiner Frau - trotz anders lautender Ausführungen - wiederum mit dem Jahr (Jahr 1) angibt. Hinsichtlich der Heiratsurkunde ist sodann festzuhalten, dass die Begründung, wonach dieses Dokument von seiner Tante aus Eritrea nach Holland gebracht und von dort an ihn weitergeschickt worden sei, nicht gehört werden kann. Dieses Vorbringen steht in krassem Gegensatz zur Aussage in der Gesuchseingabe vom 5. September 2016, gemäss der sich das betreffende Dokument bei seiner Frau in C._______ befinde (vgl. F 1 S. 2 gemäss Aktenverzeichnis SEM). Zusätzlich zu den vom SEM bei der Heiratsurkunde aufgezeigten Fälschungsmerkmalen ist festzustellen, dass das Dokument weitere Manipulationen aufweist. So befinden sich am Rand der Urkunde deutliche Kopierspuren und die gefalteten beiden Hälften erweisen sich als nicht deckungsgleich. Auffallend ist ebenfalls, dass das in der Urkunde angeführte Hochzeitsdatum aus zwei Tagen (5-6, d.h. [Datum 1]) besteht, wobei erkennbar ist, dass aus der Zahl fünf eine sechs gemacht und die Zahl 5 zusätzlich eingefügt beziehungsweise der mehrmals überschriebenen Zahl 6 vorangestellt wurde. Ausserdem ist in diesem Zusammenhang zu vermerken, dass in der Gesuchseingabe vom 5. September 2016 als Heiratsdatum - übereinstimmend mit den Angaben des Beschwerdeführers bei seiner summarischen Befragung vom 18. September 2014 (vgl. A 6 Ziff. 1.14) - (Datum 1) genannt wird und gemäss Schreiben vom 6. Dezember 2016 (Bst. C hiervor) die eingereichte Original-Heiratsurkunde vom (Datum 2) datieren soll. Nicht zuletzt mutet der Umstand befremdend an, dass die eine Hälfte mit den auszufüllenden Angaben in der Heiratsurkunde in eritreischer Schrift gehalten ist, während dagegen die dafür vorgesehene zweite Hälfte in englischer Sprache leer bleibt. Ferner ist die Erklärung in der Rechtsmitteleingabe, der Beschwerdeführer habe mit seiner Frau, einer Analphabetin, bloss telefonisch kommuniziert, weshalb er keine Telefon- und Chatauszüge einreichen könne, als Ausflucht zu qualifizieren. So brachte er in der Eingabe vom 6. Dezember 2016 unter anderem vor, er habe seine Frau, die eine Stufe unter ihm eingeschult worden sei, in der Schule kennengelernt. Er kommuniziere mit ihr immer wieder schriftlich und telefonisch. Durchschnittlich würden sie sich dreimal die Woche sowohl schreiben als auch hören. Letztmals habe er seine Frau am Sonntag, den (Datum 3), gehört. Nicht ausser Acht gelassen werden darf die Gegebenheit, dass der Beschwerdeführer gemäss seinen Angaben über Kontakt zu Angehörigen im Heimatland verfügt, was dem Anhörungsprotokoll im Rahmen des Asylverfahrens zu entnehmen ist (vgl. A 24 Frage 4 S. 2). Mit anderen Worten wäre es dem Beschwerdeführer zumutbar und möglich gewesen, über diese Personen entsprechende identitätsbelegende Dokumente hinsichtlich seiner Frau sowie allfällig weitere beweiskräftige, seine Vorbringen untermauernde Unterlagen hinsichtlich des Bestehens einer gelebten Beziehung einzureichen. So führte er in der Eingabe vom 6. Dezember 2016 unter anderem aus, "unsere Familien und Bekannten" hätten gewusst, dass sie zusammengehören und in naher Zukunft heiraten würden. Nach der Heirat hätten sie zusammen wohnen und als offizielles Paar auftreten können. In diesem Zusammenhang kann der Vollständigkeit halber auch auf die Rechtsmitteleingabe hinsichtlich der Begründung zum Erhalt der angeblichen Heiratsurkunde verwiesen werden. Die daraus resultierenden nachteiligen Konsequenzen der Beweislosigkeit sind demnach vom Beschwerdeführer in Eigenverantwortung zu tragen. Auf die eingereichten Fotos ist angesichts dieser Sachlage - ungeachtet der Erwägungen der Vorinstanz - nicht einzugehen, da sie nicht geeignet sind, das von den gesetzlichen Bestimmungen verlangte Erfordernis des Bestehens einer gelebten Beziehung glaubhaft zu machen.</w:t>
      </w:r>
    </w:p>
    <w:p>
      <w:r>
        <w:rPr>
          <w:b/>
        </w:rPr>
        <w:t>E. 5.3</w:t>
      </w:r>
    </w:p>
    <w:p>
      <w:r>
        <w:t>Zusammenfassend ist festzuhalten, dass die Voraussetzungen für den Einschluss von B._______ in das Familienasyl gemäss Art. 51 Abs. 1 AsylG respektive die Bewilligung ihrer Einreise in die Schweiz gemäss Art. 51 Abs. 4 AsylG nicht erfüllt sind. Das SEM hat somit die Einreise in die Schweiz von B._______ sowie das Familienasylgesuch zu Recht abgelehnt. Der Eventualantrag das Verfahren sei zwecks Neubeurteilung an die Vorinstanz zurückzuweisen, ist bei dieser Sachlage abzuweisen.</w:t>
      </w:r>
    </w:p>
    <w:p>
      <w:r>
        <w:rPr>
          <w:b/>
        </w:rPr>
        <w:t>E. 6</w:t>
      </w:r>
    </w:p>
    <w:p>
      <w:r>
        <w:t>Aus diesen Erwägungen ergibt sich, dass die Verfügung des SEM vom 17. Februar 2017 Bundesrecht nicht verletzt (Art. 106 AsylG). Die Beschwerde ist demnach abzuweisen.</w:t>
      </w:r>
    </w:p>
    <w:p>
      <w:r>
        <w:rPr>
          <w:b/>
        </w:rPr>
        <w:t>E. 7.1</w:t>
      </w:r>
    </w:p>
    <w:p>
      <w:r>
        <w:t>Mit dem vorliegenden Entscheid in der Sache selbst wird das Gesuch um Erlass eines Kostenvorschusses gegenstandslos.</w:t>
      </w:r>
    </w:p>
    <w:p>
      <w:r>
        <w:rPr>
          <w:b/>
        </w:rPr>
        <w:t>E. 7.2</w:t>
      </w:r>
    </w:p>
    <w:p>
      <w:r>
        <w:t>Wie oben dargelegt, waren den Beschwerdebegehren keine ernsthaften Erfolgsaussichten beschieden, weshalb das Gesuch um Gewährung der unentgeltlichen Rechtspflege im Sinne von Art. 65 Abs. 1 VwVG - unabhängig von der Frage der prozessualen Bedürftigkeit des Beschwerdeführers - abzuweisen ist. Die Kosten des Verfahrens sind somit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