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D-161/2023 vom 13. Dezember 2022</w:t>
      </w:r>
    </w:p>
    <w:p>
      <w:r>
        <w:t>Bundesverwaltungsgericht, 2022-12-13, DE</w:t>
      </w:r>
    </w:p>
    <w:p>
      <w:r>
        <w:rPr>
          <w:b/>
        </w:rPr>
        <w:t xml:space="preserve">Quelle: </w:t>
      </w:r>
      <w:r>
        <w:t>https://mcp.opencaselaw.ch/entscheid/bvger_D-161_2023_d20221213</w:t>
      </w:r>
    </w:p>
    <w:p>
      <w:r>
        <w:t>FR: TAF D-161/2023 du 13 décembre 2022</w:t>
      </w:r>
    </w:p>
    <w:p>
      <w:r>
        <w:t>IT: TAF D-161/2023 del 13 dicembre 2022</w:t>
      </w:r>
    </w:p>
    <w:p>
      <w:pPr>
        <w:pStyle w:val="Heading2"/>
      </w:pPr>
      <w:r>
        <w:t>Regeste</w:t>
      </w:r>
    </w:p>
    <w:p>
      <w:r>
        <w:t>Asyl (ohne Wegweisungsvollzug) (Wiedererw&amp;auml;gung) | Asyl (ohne Wegweisungsvollzug) (Wiedererwägung); Verfügung des SEM vom 13.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w:t>
      </w:r>
    </w:p>
    <w:p>
      <w:r>
        <w:t>D-161/2023 Seite 6 Wiedererwägungsentscheide grundsätzlich wie die ursprüngliche Verfü- gung auf dem ordentlichen Rechtsmittelweg weitergezogen werden kön- 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des Beschwerdeführers und die Asylgewährung ab- 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w:t>
      </w:r>
    </w:p>
    <w:p>
      <w:r>
        <w:t>D-161/2023 Seite 7 erachtet das Bundesverwaltungsgericht in den folgenden Erwägungen ei- 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des BVGer D-154/2023 vom 17. Mai 2023 und E-162/2023 vom 17. Mai 2023.</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t>D-161/2023 Seite 8</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eine asylsuchende Per- son nach Lehre und Rechtsprechung die Flüchtlingseigenschaft gemäss Art. 3 AsylG dann erfüllt, wenn sie Nachteile von bestimmter Intensität er- 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des Beschwerdeführers beziehungsweise seines Onkels verneint. Diese Einschätzung ist angesichts des CAT-Ent- scheids vom 27. Juli 2022 nicht aufrechtzuerhalten, da das CAT feststellte, dem Onkel des Beschwerdeführers – und auch ihm selbst – drohe im Fall der Rückkehr nach Kolumbien Folter. Der Ausschuss hielt ferner fest, dass die kolumbianischen Behörden den Onkel – und auch ihn – nicht vor wei- teren, ihm drohenden Übergriffen schützen könnten und er deshalb auch in anderen Landesteilen Kolumbiens keine verlässliche und effektive in- terne Fluchtalternative finden könne (vgl. Entscheid des CAT Nr. 909/2019 E. 7.10 ff.). Dennoch teilt das Bundesverwaltungsgericht in Anwendung von Art. 3 AsylG die Einschätzung der Vorinstanz im Ergebnis – wenn auch mit anderer Begründung (vgl. E. 2.2) – aus folgenden Erwägungen:</w:t>
      </w:r>
    </w:p>
    <w:p>
      <w:r>
        <w:rPr>
          <w:b/>
        </w:rPr>
        <w:t>E. 6.2.1</w:t>
      </w:r>
    </w:p>
    <w:p>
      <w:r>
        <w:t>Vorliegend hat der Beschwerdeführer angeführt, er sei aufgrund der politischen Betätigung seines Onkels in den Fokus der paramilitärischen Organisationen AGC beziehungsweise der «Águilas Negras» geraten, mit- hin sei er Opfer einer Reflexverfolgung geworden. Das Bestehen einer Re- flexverfolgung setzt voraus, dass die unmittelbar verfolgte Person – vorlie- gend der Onkel des Beschwerdeführers – die Anforderungen an Art. 3 AsylG erfüllt. Im Verfahren D-154/2023 gelangte das Gericht zum Schluss, dass der Onkel des Beschwerdeführers die Anforderungen an die Flücht- lingseigenschaft nicht erfüllt, mithin die Verfolgungshandlungen nicht an</w:t>
      </w:r>
    </w:p>
    <w:p>
      <w:r>
        <w:t>D-161/2023 Seite 9 ein asylrelevantes Motiv anknüpften (vgl. Urteil D-154/2023 E. 6.2.5 ff.). In- folgedessen erfüllt auch der Beschwerdeführer – im Hinblick auf die gel- tend gemachte Reflexverfolgung – die Elemente der Flüchtlingseigen- schaft nicht.</w:t>
      </w:r>
    </w:p>
    <w:p>
      <w:r>
        <w:rPr>
          <w:b/>
        </w:rPr>
        <w:t>E. 6.2.2</w:t>
      </w:r>
    </w:p>
    <w:p>
      <w:r>
        <w:t>Das Gericht stellt fest, dass der Entscheid des CAT nicht geeignet ist, die diesbezügliche Einschätzung zu erschüttern, zumal dies auch nicht geltend gemacht wird.</w:t>
      </w:r>
    </w:p>
    <w:p>
      <w:r>
        <w:rPr>
          <w:b/>
        </w:rPr>
        <w:t>E. 6.2.3</w:t>
      </w:r>
    </w:p>
    <w:p>
      <w:r>
        <w:t>Insoweit der Beschwerdeführer eine eigene, über eine Reflexverfol- gung hinausgehende Verfolgung geltend macht, stellt das Gericht fest, dass die Verfolgungshandlungen nicht an ein in Art. 3 AsylG abschliessend aufgelistetes Motiv anknüpfen, sondern als gemeinrechtliche Delikte zu be- zeichnen sind (vgl. dazu Urteil D-154/2023 E. 6.2.2 ff.). Auch daran vermag der Entscheid des CAT nichts zu ändern.</w:t>
      </w:r>
    </w:p>
    <w:p>
      <w:r>
        <w:rPr>
          <w:b/>
        </w:rPr>
        <w:t>E. 6.2.4</w:t>
      </w:r>
    </w:p>
    <w:p>
      <w:r>
        <w:t>Auch das Vorbringen des Beschwerdeführers, einzig die Asylgewäh- rung vermöge ihn effektiv vor Folter zu schützen, führt zu keiner anderen Einschätzung. Die Schweiz ist als Vertragsstaat der FoK zwar verpflichtet, aufgrund des CAT-Entscheids auf eine Ausschaffung des Beschwerdefüh- rers nach Kolumbien zu verzichten. Das SEM ist dieser Verpflichtung je- doch in geeigneter Weise nachgekommen, indem es den Beschwerdefüh- rer wegen der vom CAT festgestellten Unzulässigkeit des Wegweisungs- vollzugs vorläufig aufnahm.</w:t>
      </w:r>
    </w:p>
    <w:p>
      <w:r>
        <w:rPr>
          <w:b/>
        </w:rPr>
        <w:t>E. 6.2.5</w:t>
      </w:r>
    </w:p>
    <w:p>
      <w:r>
        <w:t>Ferner bleibt festzuhalten, dass auch nicht ersichtlich ist, inwiefern die Vorinstanz gegen das Gleichheitsgebot gemäss Art. 8 BV verstossen haben soll, zumal der Beschwerdeführer nicht dargelegt hat, in Bezug auf welchen Sachverhalt und welche Personengruppe er sich in einer ver- gleichbaren Situation befinden würde. Auch die Rügen betreffend eine Ver- letzung des Rechts auf ein faires Verfahren, Bildung, Arbeit, Arbeitsange- bote, Kleidung, eine menschenwürdige Unterkunft und Nothilfe bilden – so- weit diese Rechte in der schweizerischen Rechtsordnung anerkannt sind – keinen zulässigen Wiedererwägungsgrund.</w:t>
      </w:r>
    </w:p>
    <w:p>
      <w:r>
        <w:rPr>
          <w:b/>
        </w:rPr>
        <w:t>E. 6.2.6</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t>D-161/2023 Seite 10</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dem Beschwerdeführer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die Beschwer- devorbringen jedoch nicht von vornherein aussichtslos waren, ist der An- trag auf Gewährung der unentgeltlichen Prozessführung gutzuheissen (Art. 65 Abs. 1 VwVG). Der Antrag auf Verzicht auf die Erhebung eines Kostenvorschusses wird mit dem vorliegenden Urteil gegenstandslos. (Dispositiv nächste Seite)</w:t>
      </w:r>
    </w:p>
    <w:p>
      <w:r>
        <w:t>D-161/2023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