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D-160/2008 vom 5. Februar 2009</w:t>
      </w:r>
    </w:p>
    <w:p>
      <w:r>
        <w:t>Bundesverwaltungsgericht, 2009-02-05, DE</w:t>
      </w:r>
    </w:p>
    <w:p>
      <w:r>
        <w:rPr>
          <w:b/>
        </w:rPr>
        <w:t xml:space="preserve">Quelle: </w:t>
      </w:r>
      <w:r>
        <w:t>https://mcp.opencaselaw.ch/entscheid/bvger_D-160_2008</w:t>
      </w:r>
    </w:p>
    <w:p>
      <w:r>
        <w:t>FR: TAF D-160/2008 du 5 février 2009</w:t>
      </w:r>
    </w:p>
    <w:p>
      <w:r>
        <w:t>IT: TAF D-160/2008 del 5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im Wesentlichen geltend gemacht, die Beurteilung der Vorinstanz, die Vorbringen des Beschwerdeführers seien unglaubhaft, entspreche nicht den Tatsachen. Die Vorinstanz habe dessen Ausführungen vorschnell als unglaubhaft bewertet. Der Beschwerdeführer habe mehrmals auch ausdrücklich zu Protokoll gegeben, er könne sich nicht an Daten und Namen erinnern, weil er psychisch zu stark belastet sei. Die Hilfswerksvertreterin ihrerseits habe angeregt, der Beschwerdeführer bedürfe einer fachärztlichen Abklärung, da seine Vergesslichkeit krankheitsbedingt sein könne. Zudem habe sie festgehalten, der Beschwerdeführer mache den Eindruck, psychisch angeschlagen zu sein. Eine fachärztliche Abklärung sei von den Behörden jedoch nicht in die Wege geleitet worden. Die Reaktion des Beschwerdeführers, während der kantonalen Anhörung mehrmals geweint zu haben, weise darauf hin, dass es sich bei den Schilderungen um selbst erlebte, wahre Begebenheiten handle, welche für den Beschwerdeführer äusserst belastend seien.</w:t>
      </w:r>
    </w:p>
    <w:p>
      <w:r>
        <w:rPr>
          <w:b/>
        </w:rPr>
        <w:t>E. 4.1.1</w:t>
      </w:r>
    </w:p>
    <w:p>
      <w:r>
        <w:t>Der Beschwerdeführer habe erst nach der Festnahme im Dezember 2006 und den dabei erlittenen Misshandlungen an eine Flucht ins Ausland gedacht, da er zu diesem Zeitpunkt begriffen habe, dass sein Leben ernsthaft in Gefahr sei und er dem Druck nicht mehr habe standhalten können.</w:t>
      </w:r>
    </w:p>
    <w:p>
      <w:r>
        <w:rPr>
          <w:b/>
        </w:rPr>
        <w:t>E. 4.1.2</w:t>
      </w:r>
    </w:p>
    <w:p>
      <w:r>
        <w:t>Die Angabe verschiedener Daten bezüglich der Vorfälle im Dezember 2006 sei auf den schlechten psychischen Zustand des Beschwerdeführers während der (...) zurückzuführen. Die Vergewaltigung während der Festnahme im Dezember 2006 sei für den Beschwerdeführer traumatisierend gewesen und habe auch körperliche Schäden hinterlassen.</w:t>
      </w:r>
    </w:p>
    <w:p>
      <w:r>
        <w:rPr>
          <w:b/>
        </w:rPr>
        <w:t>E. 4.1.3</w:t>
      </w:r>
    </w:p>
    <w:p>
      <w:r>
        <w:t>Der Beschwerdeführer sei während der kantonalen Anhörung aufgrund der psychischen Belastung nicht in der Lage gewesen, Namen von anderen (...)-Mitgliedern zu nennen. In einem Moment der Ruhe wäre dies jedoch durchaus möglich gewesen. Ebenfalls aufgrund seiner krankheitsbedingten Vergesslichkeit sei er nicht in der Lage gewesen, die genaue Adresse des Parteilokals anzugeben. Im Gespräch mit der Rechtsvertreterin habe er jedoch ohne weiteres den Standort des Parteilokals zeichnen können.</w:t>
      </w:r>
    </w:p>
    <w:p>
      <w:r>
        <w:rPr>
          <w:b/>
        </w:rPr>
        <w:t>E. 4.1.4</w:t>
      </w:r>
    </w:p>
    <w:p>
      <w:r>
        <w:t>Im Weiteren wird geltend gemacht, mit dem Vorwurf der Vorinstanz, der Beschwerdeführer sei nicht imstande gewesen, detaillierte Angaben zur behördlichen Suche nach seinem Bruder zu machen, werde der Situation in der Türkei nicht Rechnung getragen. Es sei eine bekannte Methode der türkischen Behörden, Druck auf die Angehörigen von missliebigen Oppositionellen auszuüben. Aus diesem Grund würden sich Personen, welche behördlich gesucht werden, in der Regel von ihren Familien fernhalten. Somit erstaune es nicht, dass der Bruder des Beschwerdeführers keinen Kontakt mehr zu seiner Familie pflege, seit er in der Illegalität lebe. Daher sei es dem Beschwerdeführer auch nicht möglich gewesen, betreffend die behördliche Suche nach seinem Bruder genauere Angaben zu machen, da er diesen seit mehreren Jahren nicht mehr gesehen habe. Die geringen Kenntnisse des Beschwerdeführers über die behördliche Suche nach seinem Bruder rührten auch daher, dass beide in unterschiedlichen politischen Organisationen tätig gewesen seien.</w:t>
      </w:r>
    </w:p>
    <w:p>
      <w:r>
        <w:rPr>
          <w:b/>
        </w:rPr>
        <w:t>E. 4.1.5</w:t>
      </w:r>
    </w:p>
    <w:p>
      <w:r>
        <w:t>Demzufolge würden die Vorbringen des Beschwerdeführers den Anforderungen an die Glaubhaftmachung im Sinne von Art. 7 AsylG standhalten, denn entweder seien die von der Vorinstanz genannten "Ungereimtheiten" auf die durch die psychische Beeinträchtigung des Beschwerdeführers verursachte Vergesslichkeit zurückzuführen oder sie seien bei näherem Hinsehen leicht erklärbar.</w:t>
      </w:r>
    </w:p>
    <w:p>
      <w:r>
        <w:rPr>
          <w:b/>
        </w:rPr>
        <w:t>E. 4.1.6</w:t>
      </w:r>
    </w:p>
    <w:p>
      <w:r>
        <w:t>In der Türkei existierten nach wie vor verschiedene Registrierungssysteme zur Erfassung von Einzelpersonen und Gruppen, die als potentielle Gefahr für den Staat angesehen würden. Die Behörden hätten allgemein Zugang zu diesen Informationen. Es müsse davon ausgegangen werden, dass auch über den Beschwerdeführer politische Datenblätter bestünden. Bereits bei der im Zusammenhang mit der Wiedereinreise in die Türkei durchgeführten Personenkontrolle sei damit zu rechnen, dass die Fichierung entdeckt würde, was zu staatlichen Verfolgungsmassnahmen führen dürfte. Aufgrund der Gesamtumstände müsse der Beschwerdeführer im Falle einer Rückkehr in seinen Heimatstaat mit grosser Wahrscheinlichkeit mit einer Inhaftierung rechnen. Der Beschwerdeführer habe glaubhaft dargetan, dass er in der Türkei zukünftige ernsthafte Nachteile im Sinne von Art. 3 AsylG in begründeter Weise befürchten müsse; mithin erfülle er die Flüchtlingseigenschaft.</w:t>
      </w:r>
    </w:p>
    <w:p>
      <w:r>
        <w:rPr>
          <w:b/>
        </w:rPr>
        <w:t>E. 4.2.1</w:t>
      </w:r>
    </w:p>
    <w:p>
      <w:r>
        <w:t>Gemäss Art. 17 Abs. 2 AsylG erlässt der Bundesrat ergänzende Bestimmungen über das Asylverfahren, insbesondere um der speziellen Situation von Frauen und Minderjährigen im Verfahren gerecht zu werden. In Anwendung von Art. 6 der Asylverordnung 1 vom 11. August 1999 über Verfahrensfragen (AsylV 1, SR 142.311), der sich auf Art. 17 Abs. 2 AsylG stützt, sind Asylsuchende von einer Person gleichen Geschlechts anzuhören, wenn konkrete Hinweise auf geschlechtsspezifische Verfolgung vorliegen oder die Situation im Herkunftsland auf geschlechtsspezifische Verfolgung hindeutet. Der Begriff "geschlechtsspezifische Verfolgung" ist dabei nicht in einem engen Sinne auszulegen und meint - wie im Anhang zur Weisung zum Asylgesetz über die Anhörung im Kanton vom 20. September 1999 (Asyl 22.1 AH 7) richtigerweise präzisiert wurde - "Verfolgung in der Form sexueller Gewalt". Aus dem Schutzgedanken von Art. 6 AsylV 1 ergibt sich, dass jede Verfolgung, welche mit sexueller Gewalt einhergeht oder die geschlechtliche Identität des Opfers treffen soll, darunter zu subsumieren ist. Schliesslich geht es im Wesentlichen darum, einer asylsuchende Person die Möglichkeit zu geben, sich zu den erlittenen und allenfalls asylrechtlich relevanten Erlebnissen vollumfänglich und möglichst unbeeinträchtigt von Angst- und Schamgefühlen zu äussern. Zwar sind von dieser Problematik weitaus in den meisten Fällen Frauen betroffen, doch ist es keineswegs auszuschliessen, dass auch ein Mann sich in der Lage befindet, von Schamgefühlen daran gehindert zu werden, gegenüber einer Frau offen und detailliert über erlittene Misshandlungen sexueller Art zu berichten (vgl. Entscheidungen und Mitteilungen der Schweizerischen Asylrekurskommission [EMARK] 2003 Nr. 2 E. 5b. cc S. 18f.), woraus folgt, dass nicht nur Frauen und Minderjährige, sondern auch Männer in den Schutzbereich von Art. 17 Abs. 2 AsylG fallen. Angesichts dieser Sachlage ist festzustellen, dass die vom Beschwerdeführer geltend gemachte Vergewaltigung unter den Begriff der "geschlechtsspezifischen Verfolgung" im Sinne von Art. 6 AsylV 1 zu subsumieren ist.</w:t>
      </w:r>
    </w:p>
    <w:p>
      <w:r>
        <w:rPr>
          <w:b/>
        </w:rPr>
        <w:t>E. 4.2.2</w:t>
      </w:r>
    </w:p>
    <w:p>
      <w:r>
        <w:t>Aus dem klaren Wortlaut von Art. 6 AsylV 1 ergibt sich, dass die Anhörung immer dann von einer Person des gleichen Geschlechts wie die asylsuchende Person durchzuführen ist, wenn konkrete Hinweise auf geschlechtsspezifische Verfolgung vorliegen. Es ist somit nicht bloss ein Recht der asylsuchenden Person, eine solche Befragung zu verlangen, sondern die genannte Bestimmung verpflichtet die Behörde dazu, auf die darin vorgesehene Weise vorzugehen, sobald entsprechende Hinweise vorliegen. Dies ergibt sich daraus, dass die genannte Vorschrift letztlich auch eine Ausgestaltung des rechtlichen Gehörs ist, da es um eine Schutzvorschrift geht, deren Zweck es ist, dass Asylsuchende ihre Vorbringen angemessen vortragen, das heisst konkret erlittene Übergriffe möglichst frei und unbeeinträchtigt schildern können. Gleichzeitig dient die Vorschrift aber auch dazu, die Richtigkeit der Sachverhaltsabklärung zu gewährleisten. Aus diesen Gründen ist sie grundsätzlich von Amtes wegen anzuwenden (vgl. EMARK 2003 Nr. 2 E. 5c S. 19). Im vorliegenden Verfahren steht fest, dass bei der Anhörung des Beschwerdeführers zu seinen Asylgründen durch (...) ein reines Frauenteam, inkl. Hilfswerksvertreterin, anwesend war (vgl. Anhörungsprotokoll; A12/31). Es ist daher zunächst zu prüfen, ob konkrete Hinweise auf eine geschlechtsspezifische Verfolgung vorlagen, mithin der Beschwerdeführer durch ein aus Männern bestehendem Team hätte befragt werden müssen.</w:t>
      </w:r>
    </w:p>
    <w:p>
      <w:r>
        <w:rPr>
          <w:b/>
        </w:rPr>
        <w:t>E. 4.2.2.1</w:t>
      </w:r>
    </w:p>
    <w:p>
      <w:r>
        <w:t>Bereits anlässlich der Kurzbefragung im (...) gab der Beschwerdeführer zu Protokoll, dass man versucht habe, ihn mit einem Gummiknüppel zu vergewaltigen (vgl. Befragungsprotokoll; A2/10, S. 6). Darüber hinaus sind auch dem Anhörungsprotokoll Hinweise auf eine Vergewaltigung zu entnehmen (vgl. A12/31, S. 16). Schliesslich darf auch die Tatsache nicht verkannt werden, dass das BFM auf dem Triageformular die Rubrik "GespeVer" ankreuzte, mithin eine allfällige geschlechtsspezifische Verfolgung des Beschwerdeführers nicht von vornherein ausschloss.</w:t>
      </w:r>
    </w:p>
    <w:p>
      <w:r>
        <w:rPr>
          <w:b/>
        </w:rPr>
        <w:t>E. 4.2.2.2</w:t>
      </w:r>
    </w:p>
    <w:p>
      <w:r>
        <w:t>In Berücksichtigung dieser Umstände wird festgestellt, dass der Vorinstanz bereits nach der Kurzbefragung konkrete Hinweise auf eine mögliche geschlechtsspezifische Verfolgung des Beschwerdeführers vorlagen und sie infolgedessen gestützt auf Art. 6 AsylV 1 von Amtes wegen verpflichtet gewesen wäre dafür zu sorgen, dass der Beschwerdeführer beim (...) durch ein reines Männerteam angehört worden wäre. Spätestens als der Beschwerdeführer anlässlich der kantonalen Anhörung die Vergewaltigung ansprach, hätte diese abgebrochen werden oder zumindest die Situation und das weitere Vorgehen mit dem Beschwerdeführer besprochen werden müssen. Durch die Verletzung der Verfahrensanforderungen von Art. 6 AsylV 1 wurde es dem Beschwerdeführer erschwert, den möglicherweise erlittenen sexuellen Übergriff möglichst frei von Angst- und Schamgefühlen zu schildern, weshalb der Anspruch des Beschwerdeführers auf rechtliches Gehör verletzt wurde.</w:t>
      </w:r>
    </w:p>
    <w:p>
      <w:r>
        <w:rPr>
          <w:b/>
        </w:rPr>
        <w:t>E. 4.2.2.3</w:t>
      </w:r>
    </w:p>
    <w:p>
      <w:r>
        <w:t>Wohl kann die Missachtung entsprechender Verfahrensvorschriften durch das BFM aufgrund der umfassenden Kognition des Bundesverwaltungsgerichts (vgl. Art. 106 AsylG) in bestimmten Schranken geheilt werden. Eine sachgerechte Lösung im Sinne einer Heilung muss sich aber unter anderem an Art und Umfang der noch erforderlichen Abklärungsmassnahmen orientieren. Es kann allerdings nicht Sinn eines Beschwerdeverfahrens sein, für eine vollständige Feststellung des rechtserheblichen Sachverhalts zu sorgen, wenn sich eine ergänzende Untersuchung wegen unsorgfältiger Verfahrensführung aufdrängt, die nur mit umfassenden Befragungen von Amtes wegen beseitigt werden kann. Aufgrund der derzeitigen Aktenlage ist keineswegs schlüssig, ob die Vorbringen des Beschwerdeführers die Anforderungen an die Glaubhaftigkeit der Sachvorbringen sowie der begründeten Furcht vor drohender Verfolgung zu erfüllen vermögen. Dabei kann es nicht Sache des Bundesverwaltungsgerichts sein, diese erforderlichen Abklärungen selber vorzunehmen, zumal es nicht einfach um die Ergänzung einzelner Elemente des Sachverhaltes geht, sondern dieser als Ganzes einer gründlichen Glaubhaftigkeitsüberprüfung bedarf, ganz abgesehen davon, dass dem Beschwerdeführer durch ein solches Vorgehen eine Überprüfungsinstanz mit voller Kognition verloren ginge. Dementsprechend ist das BFM anzuweisen, den Beschwerdeführer in einer erneuten Anhörung durch ein reines Männerteam zu befragen.</w:t>
      </w:r>
    </w:p>
    <w:p>
      <w:r>
        <w:rPr>
          <w:b/>
        </w:rPr>
        <w:t>E. 4.3.1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 unter dem Blickwinkel des rechtlichen Gehörs im Sinne von Art. 29 Abs. 2 der Bundesverfassung der Schweizerischen Eidgenossenschaft vom 18. April 1999 (BV, SR 101) - auch das Recht, an der Feststellung des Sachverhalts mitzuwirken (vgl. EMARK 2003 Nr. 13, EMARK 2004 Nr. 16 E. 7a, EMARK 2004 Nr. 30 E. 5.3.1).</w:t>
      </w:r>
    </w:p>
    <w:p>
      <w:r>
        <w:rPr>
          <w:b/>
        </w:rPr>
        <w:t>E. 4.3.2</w:t>
      </w:r>
    </w:p>
    <w:p>
      <w:r>
        <w:t>Nach der Rechtsprechung der ehemaligen ARK sind politische Datenblätter für die Beurteilung dessen, ob begründete Furcht vor zukünftiger Verfolgung besteht, von erheblicher Bedeutung (vgl. EMARK 2005 Nr. 11 E. 5). Besteht bei Asylsuchenden aus der Türkei ein solches Datenblatt, ist in der Regel bereits aufgrund dieser Fichierung von einer begründeten Furcht vor künftiger asylrechtlich relevanter Verfolgung auszugehen. Eine überdurchschnittliche Wahrscheinlichkeit, dass behördliche Datenblätter angelegt werden, besteht für oppositionelle bzw. politisch besonders aktive Personen, insbesondere wenn es sich dabei um Kurden, aus politischen Gründen Vorbestrafte sowie mutmassliche oder ehemalige Mitglieder von verbotenen politischen Organisationen handelt. Vor diesem Hintergrund kann wegen der Verurteilung des Beschwerdeführers im Jahre 1980 zu einer 10- jährigen Haftstrafe die Existenz eines Datenblattes nicht von vornherein ausgeschlossen werden.</w:t>
      </w:r>
    </w:p>
    <w:p>
      <w:r>
        <w:rPr>
          <w:b/>
        </w:rPr>
        <w:t>E. 4.3.3.1</w:t>
      </w:r>
    </w:p>
    <w:p>
      <w:r>
        <w:t>Die Vorinstanz äusserte sich in der angefochtenen Verfügung zum allfälligen Bestehen eines politischen Datenblattes nicht und unterliess es in Missachtung des Untersuchungsgrundsatzes, entsprechende Abklärungen zu treffen. Erst mit ergänzendem Schriftenwechsel vom 17. Juli 2008 nahm das BFM aufforderungsgemäss zur allfälligen Existenz eines politischen Datenblattes Stellung. Dabei wurde insbesondere geltend gemacht, entgegen den Ausführungen in der Beschwerde müsse der Beschwerdeführer bei einer Rückkehr in die Türkei nicht mit staatlichen Verfolgungsmassnahmen rechnen. Falls ein Datenblatt bestanden habe, sei davon auszugehen, dass dieser Eintrag mit dem Vollzug der Strafe und der Freilassung im Jahre 1990 wieder gelöscht worden sei. Wer in der Türkei freigesprochen worden sei, gelte grundsätzlich als strafrechtlich unbescholten und habe in der Regel auch nicht mit weiteren ernsthaften Nachteilen zu rechnen. Deshalb sei nur noch beim Vorliegen besonderer Umstände von einer begründeten Furcht auszugehen, was vorliegend jedoch nicht der Fall sei. Die sich aus dem allfälligen Bestehen eines Datenblattes ergebenden Nachteile würden indes in der Regel kein asylrelevantes Ausmass erreichen. Wie sich demgegenüber aus EMARK 2005 Nr. 11 E. 5 ergibt, ist im Falle der Existenz eines politischen Datenblattes bei türkischen Asylsuchenden in der Regel bereits aufgrund dieser Fichierung von einer begründeten Furcht vor künftiger asylrechtlich relevanter Verfolgung auszugehen. Demzufolge ist die Vorinstanz anzuweisen, mittels Botschaftsanfrage abklären zu lassen, ob über den Beschwerdeführer ein politisches Datenblatt angelegt wurde.</w:t>
      </w:r>
    </w:p>
    <w:p>
      <w:r>
        <w:rPr>
          <w:b/>
        </w:rPr>
        <w:t>E. 4.3.3.2</w:t>
      </w:r>
    </w:p>
    <w:p>
      <w:r>
        <w:t>Ungeachtet der allfälligen Furcht des Beschwerdeführers vor Reflexverfolgung bei einer allfälligen Rückkehr in sein Heimatland machte die Vorinstanz in der angefochtenen Verfügung im Zusammenhang mit dem Bruder lediglich geltend, der Beschwerdeführer sei nicht in der Lage gewesen, detaillierte Angaben zur angeblichen Suche nach seinem Bruder zu machen, ohne jedoch näher auf die mögliche Reflexverfolgung einzugehen. Im Zusammenhang mit der oben erwähnten Verletzung des Untersuchungsgrundsatzes ist die Vorinstanz anzuweisen, mit einer Botschaftsanfrage ebenfalls abklären zu lassen, ob und aus welchen Gründen der Bruder des Beschwerdeführers gesucht wird.</w:t>
      </w:r>
    </w:p>
    <w:p>
      <w:r>
        <w:rPr>
          <w:b/>
        </w:rPr>
        <w:t>E. 5</w:t>
      </w:r>
    </w:p>
    <w:p>
      <w:r>
        <w:t>Angesichts dieser Umstände ist die Beschwerde im Sinne der Erwägungen gutzuheissen, die angefochtene Verfügung vom 7. Dezember 2007 aufzuheben und die Sache zur Neubeurteilung an das BFM zurückzuweisen. Die Vorinstanz ist im Sinne der obigen Erwägungen aufzufordern, den Beschwerdeführer in einer erneuten Anhörung durch ein reines Männerteam zu befragen sowie den rechtserheblichen Sachverhalt mittels Botschaftsanfrage vollständig abzuklären.</w:t>
      </w:r>
    </w:p>
    <w:p>
      <w:r>
        <w:rPr>
          <w:b/>
        </w:rPr>
        <w:t>E. 6</w:t>
      </w:r>
    </w:p>
    <w:p>
      <w:r>
        <w:t>Bei diesem Ausgang des Beschwerdeverfahrens sind keine Verfahrenskosten aufzuerlegen (Art. 63 Abs. 1 VwVG). Der am 28. Januar 2008 geleistete Kostenvorschuss von Fr. 600.-- ist dem Beschwerdeführer zurückzuerstatten.</w:t>
      </w:r>
    </w:p>
    <w:p>
      <w:r>
        <w:rPr>
          <w:b/>
        </w:rPr>
        <w:t>E. 7</w:t>
      </w:r>
    </w:p>
    <w:p>
      <w:r>
        <w:t>Dem rechtlich vertretenen Beschwerdeführer ist angesichts seines Obsiegens eine Parteientschädigung für die ihm notwendigerweise erwachsenen Kosten zuzusprechen (Art. 64 Abs. 1 VwVG sowie Art. 16 Abs. 1 Bst. a VGG i.V.m. Art. 7 Abs. 1, Art 8 und 9 des Reglements vom 21. Februar 2008 über die Kosten und Entschädigungen vor dem Bundesverwaltungsgericht [VGKE, SR 173.320.2]). Aufgrund der Akten können die Vertretungskosten vorliegend zuverlässig abgeschätzt werden und sind auf Fr. 600.-- (inkl. MWST und Auslagen) festzusetzen (Art. 14 Abs. 2 VGKE), weshalb auf die Einforderung einer Kostennote verzichtet werden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