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D-1609/2016 vom 27. Dezember 2016</w:t>
      </w:r>
    </w:p>
    <w:p>
      <w:r>
        <w:t>Bundesverwaltungsgericht, 2016-12-27, DE</w:t>
      </w:r>
    </w:p>
    <w:p>
      <w:r>
        <w:rPr>
          <w:b/>
        </w:rPr>
        <w:t xml:space="preserve">Quelle: </w:t>
      </w:r>
      <w:r>
        <w:t>https://mcp.opencaselaw.ch/entscheid/bvger_D-1609_2016</w:t>
      </w:r>
    </w:p>
    <w:p>
      <w:r>
        <w:t>FR: TAF D-1609/2016 du 27 décembre 2016</w:t>
      </w:r>
    </w:p>
    <w:p>
      <w:r>
        <w:t>IT: TAF D-1609/2016 del 27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Entgegen den Beschwerdevorbringen hat das SEM die Lage im Herkunftsort der Beschwerdeführenden hinreichend geprüft und auch festgehalten, dass es sich bei den Betroffenen um eine alleinerziehende Mutter mit zwei Kindern handle. Dass im Dispositiv nicht erwähnt wird, wohin sie ausreisen müssen, entspricht dem üblichen Aufbau der SEM-Verfügung, was insofern nicht zu beanstanden ist, als bei der Prüfung des Vollzugs klarerweise Bezug auf Kosovo genommen wurde. Im Weiteren bestand für die Vorinstanz im damaligen Zeitpunkt kein Anlass, sich mit der gesundheitlichen Situation der Beschwerdeführerin vertieft zu befassen. Bei der Befragung zur Person sagte sie zwar aus, unter Depressionen zu leiden, ohne aber von einer eingeleiteten oder gewünschten Behandlung zu sprechen (vgl. A 7/12 S. 9). Ihre gesundheitliche Krise manifestierte sich in der Folge erst nach Erlass des erstinstanzlichen Entscheids. Die implizit gerügten Gehörsverletzungen durch das SEM sind mithin zu verneinen. Sollte gleichwohl ein Mangel bei der gesundheitlichen Abklärung erkannt werden, wäre dieser in Anbetracht des Schriftenwechsels, wo sich die Vorinstanz ausführlich zur neuen gesundheitlichen Situation äusserte, ohnehin als geheilt zu erachten. Schliesslich ist gemäss nachfolgenden Ausführungen von einer genügenden Sachverhaltsermittlung auszugehen und der Antrag auf eine Botschaftserklärung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Gemäss Schutztheorie ist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Entscheidungen und Mitteilungen der Schweizerischen Asylrekurskommission [EMARK] 2006 Nr. 18 E. 10.2 f. S. 202 f.). Mit Beschluss vom 6. März 2009 wurde Kosovo als verfolgungssicherer Staat (Safe Country) gemäss Art. 6a Abs. 2 Bst. a AsylG bezeichnet. Im Rahmen der periodischen Überprüfung (vgl. Art. 6a Abs. 3 AsylG) ist die schweizerische Regierung darauf bisher nicht zurückgekommen. Die Bezeichnung eines Landes als safe country beinhaltet die Regelvermutung, dass eine asylrelevante staatliche Verfolgung nicht stattfindet und der Schutz vor nichtstaatlicher Verfolgung gewährleistet ist. Hierbei handelt es sich jedoch um eine relative Verfolgungssicherheit, welche im Einzelfall auf Grund konkreter und substantiierter Hinweise widerlegt werden kann.</w:t>
      </w:r>
    </w:p>
    <w:p>
      <w:r>
        <w:rPr>
          <w:b/>
        </w:rPr>
        <w:t>E. 5.2</w:t>
      </w:r>
    </w:p>
    <w:p>
      <w:r>
        <w:t>Die Vorbringen der Beschwerdeführenden vermögen diese Regelvermutung nicht umzustossen. Einleitend ist festzuhalten, dass allfällige Vergeltungsakte seitens der verfeindeten Familie beziehungsweise Nötigungen durch die eigene (Opfer-)Familie grundsätzlich eher aus privaten, asylfremden Motiven und nicht aus einem in Art. 3 Abs. 1 AsylG aufgezählten Grund erfolgen würden, weshalb die Asylrelevanz allfälliger Vorkommnisse a priori fraglich erschiene und weitere Ausführungen sachlogisch eher bei der Zulässigkeit des Vollzugs zu machen wären (vgl. Bundesverwaltungsgerichtsurteil D-12/2015 vom 14. Januar 2015 E. 4.6.3). Allerdings prüfte das SEM die geltend gemachte Bedrohungslage unter dem Blickwinkel der Asylrelevanz und verneinte diese, weshalb vom Urteilsaufbau her entsprechende Erwägungen analog zu machen sind.</w:t>
      </w:r>
    </w:p>
    <w:p>
      <w:r>
        <w:rPr>
          <w:b/>
        </w:rPr>
        <w:t>E. 5.3</w:t>
      </w:r>
    </w:p>
    <w:p>
      <w:r>
        <w:t>Es ist zwar kein Staat in der Lage, die Sicherheit seiner Bürgerinnen und Bürger im Falle von Übergriffen durch Dritte vollumfänglich zu gewährleisten (vgl. Bundesverwaltungsgerichtsurteil E- 1308/2015 vom 14. September 2016 E. 5.4.1). Die Vorinstanz erwog aber, der Täter sei inhaftiert worden. Den eingereichten Akten sei zu entnehmen, dass das Tötungsdelikt als schwerer Mordfall qualifiziert und entsprechend ermittelt worden sei. Rechtsstaatlichen Prinzipien würden also grundsätzlich zur Anwendung kommen. Entsprechend sei nicht nachvollziehbar, dass die Beschwerdeführerin die Nachstellungen und Drohungen gegen ihre Kinder den Behörden nicht gemeldet habe. Diese Sichtweise vermag grundsätzlich zu überzeugen. Dass der Täter in Haft genommen wurde und ermittelt wurde, wird in der Beschwerde nicht bestritten. Selbst in Berücksichtigung allfälliger Mängel im kosovarischen Justizsystem, ist demnach davon auszugehen, dass diese vorliegend nicht entscheidrelevant waren, die Behörden einschritten und das Nötige veranlassten. Die Beschwerdeführenden machen indes im Sinne begründeter Furcht geltend, wegen der Gewaltbereitschaft von Angehörigen könnten sie zu Gewaltakten genötigt beziehungsweise nach einer durch diese begangene Blutrache im Fokus des verfeindeten Clans stehen. Ausserdem sei der Gegenclan mit der (...) in Verbindung zu bringen. Letzteres mag zutreffen. Die Ausführungen hinsichtlich einer Gefährdung wirken indes sehr spekulativ und vermitteln jedenfalls nicht den Eindruck einer konkret drohenden Gefahr, wobei wiederum auf die ausführlichen Erwägungen im angefochtenen Entscheid sowie in der Vernehmlassung verwiesen werden kann. Unabhängig davon hätten die Beschwerdeführerin respektive deren Kinder - sollten sie wider Erwarten tatsächlich in strafrechtlich relevanter Weise durch Angehörige der einen oder anderen Familie in Zukunft behelligt werden - die Möglichkeit, erneut an die Behörden zu gelangen. Zwar wird auch im eingereichten SFH-Bericht vom 1. Juli 2016 auf Mängel bei der Schutzgewährung hingewiesen (vgl. S. 7 ff.). Im vorliegenden Fall bestehen aber - wie das SEM ausführlich und nachvollziehbar darlegt - weder konkrete Anhaltspunkte für die Involvierung der Beschwerdeführenden in einen neuen Gewaltakt noch solche für ein Versagen der grundsätzlich vorhandenen Schutzinfrastruktur, sollte es wider Erwarten doch dazu kommen. Die Beschwerdegegenargumente sind in Anbetracht des tatsächlich Vorgefallenen verständlich, vermögen aber mangels Stichhaltigkeit die erstinstanzlichen Schlussfolgerungen nicht umzustossen.</w:t>
      </w:r>
    </w:p>
    <w:p>
      <w:r>
        <w:rPr>
          <w:b/>
        </w:rPr>
        <w:t>E. 6</w:t>
      </w:r>
    </w:p>
    <w:p>
      <w:r>
        <w:t>Unter Berücksichtigung der gesamten Umstände folgt, dass die Beschwerdeführenden keine Gründe nach Art. 3 AsylG nachweisen oder glaubhaft machen konnten. Es bestehen somit keine konkreten und substantiierten Hinweise, die die Regelvermutung, Kosovo gewähre Schutz vor nichtstaatlicher Verfolgung, im Falle der Beschwerdeführenden zu widerlegen vermöchten. Die Beschwerdevorbringen und Beweismittel rechtfertigen keine andere Einschätzung. Die Vorinstanz hat die Flüchtlingseigenschaft zu Recht verneint und die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Beschwerdeführerin noch aus den Akten Anhaltspunkte dafür, dass die Beschwerdeführenden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8.5.1</w:t>
      </w:r>
    </w:p>
    <w:p>
      <w:r>
        <w:t>Die allgemeine Lage in Kosovo als safe country ist offensichtlich nicht durch Krieg, Bürgerkrieg oder durch eine Situation allgemeiner Gewalt, aufgrund derer die Zivilbevölkerung als konkret gefährdet bezeichnet werden müsste, gekennzeichnet. Der Vollzug der Wegweisung ist unter diesen Umständen als grundsätzlich zumutbar zu bezeichnen.</w:t>
      </w:r>
    </w:p>
    <w:p>
      <w:r>
        <w:rPr>
          <w:b/>
        </w:rPr>
        <w:t>E. 8.5.2</w:t>
      </w:r>
    </w:p>
    <w:p>
      <w:r>
        <w:t>Aus den im Gesetz genannten Gefährdungssituationen ergibt sich, dass nicht beliebige Nachteile oder Schwierigkeiten die Annahme einer konkreten Gefährdung im Sinne von Art. 83 Abs. 4 AuG rechtfertigen, sondern ausschliesslich Gefahren für Leib oder Leben. Die von der Weg- oder Ausweisung betroffene Person muss demnach im Falle einer Rückkehr in den Heimat- oder Herkunftsstaat dort in eine existenzielle Notlage geraten. Eine konkrete Gefährdung liegt folglich im Allgemeinen nicht schon deshalb vor, weil die wirtschaftliche Situation und damit die allgemeinen Lebensbedingungen im Heimat- oder Herkunftsstaat schwierig sind, dort beispielsweise Wohnungsnot oder hohe Arbeitslosigkeit herrschen, oder weil eine im Vergleich zur Schweiz weniger entwickelte medizinische Infrastruktur besteht. Weniger hohe Anforderungen an die Annahme einer konkreten Gefährdung gelten hingegen, wenn das Kindeswohl gemäss Art. 3 Abs. 1 des Übereinkommens vom 20. November 1989 über die Rechte des Kindes (SR 0.107) mit zu berücksichtigen ist, da das Kindeswohl nicht erst gefährdet ist, wenn das Kind in eine existenzielle Notlage gerät (vgl. Urteil des Bundesverwaltungsgerichts D-7329/2013 vom 12. April 2016 E. 6.3.1).</w:t>
      </w:r>
    </w:p>
    <w:p>
      <w:r>
        <w:rPr>
          <w:b/>
        </w:rPr>
        <w:t>E. 8.5.3</w:t>
      </w:r>
    </w:p>
    <w:p>
      <w:r>
        <w:t>Dass die Beschwerdeführerin in Anbetracht des Vorgefallenen Mühe bekundet, an ihren bisherigen Wohnort zurückzukehren, ist verständlich. Anderseits hat das SEM im angefochtenen Entscheid aufgezeigt, dass hinreichende soziale Anknüpfungspunkte vor Ort bestehen und die Wohnsituation gesichert erscheint. Im Sinne der Beschwerdevorbringen dürfte zu gewissen Verwandten zwar ein schwieriges Verhältnis bestehen, wobei aber nicht zwingend erscheint, dass die Beschwerdeführenden auch auf deren Unterstützung angewiesen wären. Es ist mithin von einem ausreichenden sozialen Netz und gemäss Aktenlage von einem gewissen finanziellen Rückhalt in der Familie auszugehen. Anzufügen ist, dass der eingereichte SFH-Bericht hinsichtlich der Situation von Rückkehrerinnen auf solche ohne soziales Netz fokussiert, was bei der Beschwerdeführerin aber offensichtlich nicht zutrifft. Andererseits wurde die Beschwerdeführerin im März 2016 hospitalisiert. Im diesbezüglichen spezialärztlichen Bericht vom 18. März 2016 wurde eine Anpassungsstörung mit Suizidalität diagnostiziert. Gemäss einer Aktennotiz des SEM vom 4. April 2016 wurde die Beschwerdeführerin aber offenbar nach relativ kurzer Zeit aus der psychiatrischen Klinik wieder entlassen. In den Eingaben der Rechtsvertreterin vom 27. April 2016 und 26. Juli 2016 wird nicht vorgebracht, dass sich ein erneuter suizidaler Vorfall beziehungsweise eine erneute Spitaleinweisung ereignet habe. Entsprechend kann von einer gewissen Stabilisierung der psychischen Verfassung der Beschwerdeführerin ausgegangen werden. Auch wenn die Behandlung eines allfälligen psychischen Leidens mit der diagnostizierten Symptomatik vor Ort kaum mit schweizerischen Massstäben zu vergleichen ist, gibt es in Kosovo doch Einrichtungen, die im Bedarfsfall von der Beschwerdeführerin aufgesucht werden könnten beziehungsweise welche sich in einem allfälligen Notfall um sie kümmern könnten (vgl. dazu Bundesverwaltungsgerichtsurteile D-5000/2013 vom 16. November 2016 E. 7.4.3 und D-6031/2015 vom 24. November 2016 E. 4.3.4 ff.). Im eingereichten SFH Bericht zur gesundheitlichen Situation in Kosovo ist zwar von Mängeln und Wartezeiten die Rede, wobei aber auch gewisse Verbesserungen und die Möglichkeit kostenloser Behandlung erwähnt werden. Insgesamt muss somit nicht davon ausgegangen werden, dass der Beschwerdeführerin aus gesundheitlichen Gründen eine konkrete Gefahr droht, und zwar umso weniger, als das SEM in der Vernehmlassung zu Recht festhält, Suizidalität in unmittelbarem Zusammenhang mit einer Wegweisungsanordnung könne gegebenenfalls kurzfristig im Rahmen einer psychiatrischen Krisenintervention behandelt werden, und auf die Möglichkeit medizinischer Rückkehrhilfe hinweist. Die beiden Söhne der Beschwerdeführerin sind erst (...) Jahre alt und halten sich erst ein knappes Jahr lang in der Schweiz auf. Demzufolge kann nicht von einem längeren Aufenthalt im Ausland, welcher ihre Adoleszenz prägte, ausgegangen werden. Auch in Berücksichtigung der obenerwähnten, herabgesetzten Anforderungen an die Bejahung der Unzumutbarkeit steht ihrer Rückkehr ins Heimatland zusammen mit der Mutter nichts entgegen.</w:t>
      </w:r>
    </w:p>
    <w:p>
      <w:r>
        <w:rPr>
          <w:b/>
        </w:rPr>
        <w:t>E. 8.6</w:t>
      </w:r>
    </w:p>
    <w:p>
      <w:r>
        <w:t>Nach dem Gesagten erweist sich der Vollzug der Wegweisung auch als zumutbar.</w:t>
      </w:r>
    </w:p>
    <w:p>
      <w:r>
        <w:rPr>
          <w:b/>
        </w:rPr>
        <w:t>E. 8.7</w:t>
      </w:r>
    </w:p>
    <w:p>
      <w:r>
        <w:t>Schliesslich obliegt es den Beschwerdeführenden, sich im Bedarfsfall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Verfahrenskosten den Beschwerdeführenden aufzuerlegen (Art. 63 Abs. 1 VwVG). Sie stellten in ihrer Rechtsmitteleingabe jedoch ein Gesuch um unentgeltliche Rechtspflege im Sinne von Art. 65 Abs. 1 VwVG, welches das Gericht mit Instruktionsverfügung vom 18. März 2016 guthiess. Da sich ihre finanzielle Situation seit der Gutheissung nicht entscheidwesentlich veränderte, ist auf die Erhebung von Kosten zu verzichten.</w:t>
      </w:r>
    </w:p>
    <w:p>
      <w:r>
        <w:rPr>
          <w:b/>
        </w:rPr>
        <w:t>E. 11.2</w:t>
      </w:r>
    </w:p>
    <w:p>
      <w:r>
        <w:t>Mit Verfügung vom 18. März 2016 wurde ausserdem das Gesuch um amtliche Verbeiständung gutgeheissen (Art. 110a Abs. 1 VwVG) und den Beschwerdeführenden ihre Rechtsvertreterin als Rechtsbeistand zugeordnet. Demnach ist dieser ein amtliches Honorar für ihre notwendigen Aufwendungen im Beschwerdeverfahren auszurichten. Sie reichte keine Kostennote ein. Auf die Nachforderung einer solchen wird jedoch in Abweisung ihres entsprechenden Antrags verzichtet (Art. 14 Abs. 2 des Reglements vom 21. Februar 2008 über die Kosten und Entschädigungen vor dem Bundesverwaltungsgericht [VGKE, SR 173.320.2]), da im vorliegenden Verfahren der Aufwand zuverlässig abgeschätzt werden kann (vgl. auch S. 3 der Zwischenverfügung vom 18. März 2016). Gestützt auf die in Betracht zu ziehenden Bemessungsfaktoren (Art. 9 - 13 VGKE) ist das amtliche Honorar auf Fr. 2000.-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