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D-1605/2010 vom 22. Juni 2011</w:t>
      </w:r>
    </w:p>
    <w:p>
      <w:r>
        <w:t>Bundesverwaltungsgericht, 2011-06-22, DE</w:t>
      </w:r>
    </w:p>
    <w:p>
      <w:r>
        <w:rPr>
          <w:b/>
        </w:rPr>
        <w:t xml:space="preserve">Quelle: </w:t>
      </w:r>
      <w:r>
        <w:t>https://mcp.opencaselaw.ch/entscheid/bvger_D-1605_2010</w:t>
      </w:r>
    </w:p>
    <w:p>
      <w:r>
        <w:t>FR: TAF D-1605/2010 du 22 juin 2011</w:t>
      </w:r>
    </w:p>
    <w:p>
      <w:r>
        <w:t>IT: TAF D-1605/2010 del 22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Ihren eigenen Aussagen zufolge sind die Beschwerdeführer in F._______ geboren, und lebten bis zu ihrer Ausreise in E._______, F._______ (vgl. A1/12 S. 1; A2/12 S. 1). Ihre Heimat wollen sie am 30. August 2009 mit ihren serbischen Identitätskarten verlassen haben, die sie in H._______ bei ihrem Vater (vgl. A1/12 S. 7) beziehungsweise bei ihrem Schwiegervater (A2/12 S. 6) zurückgelassen haben. Laut Auskunft der Schweizer Botschaft in Belgrad vom 28. September 2009 handelt es sich bei der serbischen Identitätskarte um ein Dokument, welches dem Nachweis der Identität eines serbischen Staatsbürgers in Serbien dient. Die Beschwerdeführenden dürften somit als serbische Staatsbürger zu betrachten sein. Die Republik Kosovo, deren Staatsangehörigkeit die Beschwerdeführenden ebenfalls besitzen dürften, aberkannt beziehungsweise verweigert Angehörigen anderer Staaten die kosovarische Staatsangehörigkeit nicht. Serbien anerkennt die Republik Kosovo nicht als Staat und betrachtet damit die Staatsangehörigen des Kosovos grundsätzlich als serbische Staatsangehörige (vgl. Entscheide des Schweizerischen Bundesverwaltungsgerichts [BVGE] 2011/41). Die Beschwerdeführenden können sich demnach nach Serbien begeben, wo sie aufgrund ihrer Niederlassungsfreiheit Wohnsitz nehmen können und ihnen allenfalls auch neue serbische Identitätspapiere ausgestellt würden. Asylsuchende, die mehrere Staatsangehörigkeiten besitzen, sind nicht auf den Schutz eines Drittstaates angewiesen, sofern sie in einem der Staaten, dessen Staatsangehörigkeit sie besitzen, Schutz vor Verfolgung finden können. Es bestehen vorliegend keinerlei Anhaltspunkte dafür, dass den Beschwerdeführenden in Serbien asylrelevante Verfolgung droht, weshalb sie des Schutzes der Schweiz nicht bedürfen. Angesichts der aufgezeigten Sachlage erübrigt es sich, auf die weiteren Ausführungen in der Beschwerde im Einzelnen einzugehen, da diese nicht geeignet sind, zu einer anderen rechtlichen Würdigung der Aktenlage zu führen. Es ist somit festzustellen, dass die Beschwerdeführenden einen flüchtlingsrechtlich bedeutsamen Sachverhalt weder nachgewiesen noch glaubhaft gemacht haben. Die Feststellung des BFM, die Beschwerdeführenden erfüllten die Flüchtlingseigenschaft nicht, ist dementsprechend zu bestätigen, wobei offen bleiben kann, ob alle Erwägungen der angefochtenen Verfügung einer Überprüfung standhalten. Das BFM hat die Asylgesuche somit im Ergebnis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 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In Serbien besteht keine Situation generalisierter Gewalt, die sich über das ganze Staatsgebiet oder weite Teile desselben erstrecken würde. Der Vollzug der Wegweisung von ethnischen Serben mit letztem Wohnsitz in Kosovo nach Serbien ist deshalb grundsätzlich zumutbar. Es bestehen zudem auch keine individuellen Gründe wirtschaftlicher, sozialer oder gesundheitlicher Natur, die darauf hinwiesen, dass die Beschwerdeführenden in Serbien in eine existenzbedrohende Situation geraten könnten. Beim Beschwerdeführer handelt es sich um einen jungen und soweit aktenkundig gesunden Mann, der bis zu seiner Ausreise als Schreiner im Geschäft seines Vaters gearbeitet (vgl. A1/12 S. 3) und daneben mit seinem Vater Feldarbeit verrichtet haben will (vgl. A26/19 S. 8 F. 73). Die Beschwerdeführerin will als Krankenschwester tätig gewesen sein (vgl. A2/12 S. 2; A26/19 S. 5 F. 45; A27/18 S. 6 F. 57). Demnach sollten die Beschwerdeführenden in der Lage sein, sich in Serbien eine Existenz aufzubauen. Zudem verfügen sie in Serbien in der Person der Mutter des Beschwerdeführers und seinen vier Geschwistern (vgl. A1/12 S. 3) sowie in der Person des Bruders der Beschwerdeführerin (vgl. A2/12 S. 3) über ein soziales Familiennetz, welches ihnen die Integration erleichtern wird. Insofern ist es ihnen durchaus zuzumuten, sich in Serbien niederzulassen und dort ein Auskommen zu finden. Dies um so mehr als der Beschwerdeführer seinen eigenen Angaben zufolge in der Schweiz keine Verwandten hat (vgl. A1/12 S. 3) und die Beschwerdeführerin nur zwei Onkel väterlicherseits nennen konnte, wobei sei von einem nicht einmal wusste, in welche Kanton dieser in der Schweiz lebt (vgl. A2/12 S. 3). Dass sich die Beschwerdeführerin in psychiatrischer Behandlung befindet, vermag ihre Wegweisung nicht als unzumutbar erscheinen lassen, da in Serbien die notwendigen medizinischen Strukturen zur Behandlung psychischer Probleme durchaus gegeben sind. Unter anderem als Folge der Kriegs- und Bürgerkriegswirren im ehemaligen Jugoslawien sind landesweit sowohl psychiatrische Einrichtungen, ausgebildetes Fachpersonal und Psychopharmaka vorhanden, so dass die Beschwerdeführerin allfällige psychische Probleme angemessen behandeln lassen kann. Insbesondere die für die Beschwerdeführerin wichtigen Gesprächstherapien sind in ihrer Heimat leichter zu bewerkstelligen, da sie sich dort in ihrer Muttersprache mit den Therapeuten austauschen kann und somit die Problematik des Übersetzens entfällt. Nach dem Gesagten erweist sich somit der Vollzug der Wegweisung auch als zumutbar.</w:t>
      </w:r>
    </w:p>
    <w:p>
      <w:r>
        <w:rPr>
          <w:b/>
        </w:rPr>
        <w:t>E. 7.6</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Die Beschwerde ist nach dem Gesagten abzuweisen.</w:t>
      </w:r>
    </w:p>
    <w:p>
      <w:r>
        <w:rPr>
          <w:b/>
        </w:rPr>
        <w:t>E. 9</w:t>
      </w:r>
    </w:p>
    <w:p>
      <w:r>
        <w:t>Mit Zwischenverfügung vom 6. April 2010 wurde das Gesuch um Gewährung der unentgeltlichen Rechtspflege gemäss Art. 65 Abs. 1 VwVG gutgeheissen. Folglich ist auf die Auferlegung von Verfahrenskosten zu verzichten. Ausgangsgemäss ist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