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D-1601/2012 vom 14. Januar 2013</w:t>
      </w:r>
    </w:p>
    <w:p>
      <w:r>
        <w:t>Bundesverwaltungsgericht, 2013-01-14, DE</w:t>
      </w:r>
    </w:p>
    <w:p>
      <w:r>
        <w:rPr>
          <w:b/>
        </w:rPr>
        <w:t xml:space="preserve">Quelle: </w:t>
      </w:r>
      <w:r>
        <w:t>https://mcp.opencaselaw.ch/entscheid/bvger_D-1601_2012</w:t>
      </w:r>
    </w:p>
    <w:p>
      <w:r>
        <w:t>FR: TAF D-1601/2012 du 14 janvier 2013</w:t>
      </w:r>
    </w:p>
    <w:p>
      <w:r>
        <w:t>IT: TAF D-1601/2012 del 14 gennaio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 unter Vorbehalt der nachfolgenden Erwägungen 1.4 und 1.5 - einzutreten.</w:t>
      </w:r>
    </w:p>
    <w:p>
      <w:r>
        <w:rPr>
          <w:b/>
        </w:rPr>
        <w:t>E. 1.4</w:t>
      </w:r>
    </w:p>
    <w:p>
      <w:r>
        <w:t>Die Beschwerdeführerin beantragt, sie sei als Flüchtling anzuerkennen. Das Dispositiv der angefochtenen Verfügung enthält keine Feststellung des Bestehens oder Nichtbestehens (vgl. dazu Art. 5 Abs. 1 Bst. b VwVG) der Flüchtlingseigenschaft, weshalb dieser Antrag eine unzulässige Erweiterung des Verfahrensgegenstandes darstellt und darauf nicht einzutreten ist.</w:t>
      </w:r>
    </w:p>
    <w:p>
      <w:r>
        <w:rPr>
          <w:b/>
        </w:rPr>
        <w:t>E. 1.5</w:t>
      </w:r>
    </w:p>
    <w:p>
      <w:r>
        <w:t>Das Dispositiv der angefochtenen Verfügung enthält zudem keine Anordnung bezüglich des Wegweisungsvollzuges. Demzufolge handelt es sich beim Eventualantrag bezüglich Gewährung der vorläufigen Aufnahme ebenfalls um ein unzulässiges Rechtbegehren. Im Übrigen setzt der Vollzug der Wegweisung respektive dessen Aussetzung zugunsten einer vorläufigen Aufnahme die Anwesenheit der betreffenden Person in der Schweiz voraus. Diese Voraussetzung ist vorliegend nicht erfüllt. Nach dem Gesagten ist auf den Antrag um Gewährung der vorläufigen Aufnah­me nicht einzutreten.</w:t>
      </w:r>
    </w:p>
    <w:p>
      <w:r>
        <w:rPr>
          <w:b/>
        </w:rPr>
        <w:t>E. 1.6</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dringlichen Änderungen des Asylgesetztes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19, 20 und 52 in der bisherigen Fassung gelten.</w:t>
      </w:r>
    </w:p>
    <w:p>
      <w:r>
        <w:rPr>
          <w:b/>
        </w:rPr>
        <w:t>E. 4.1</w:t>
      </w:r>
    </w:p>
    <w:p>
      <w:r>
        <w:t>Ein Asylgesuch kann gemäss Art. 19 Abs. 1 AsylG im Ausland bei einer schweizerischen Vertretung gestellt werden, die es mit einem Bericht an das BFM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w:t>
      </w:r>
    </w:p>
    <w:p>
      <w:r>
        <w:rPr>
          <w:b/>
        </w:rPr>
        <w:t>E. 4.2</w:t>
      </w:r>
    </w:p>
    <w:p>
      <w:r>
        <w:t>Der Umstand, dass das vorliegende Gesuch nicht entsprechend dem Wortlaut von Art. 19 Abs. 1 und Art. 20 AsylG bei einer schweizerischen Vertretung, sondern direkt beim BFM eingereicht wurde, ist nicht massgebend (vgl. dazu Entscheidungen und Mitteilungen der [vormaligen] Schweizerischen Asyl­rekurskommission [EMARK] 1997 Nr. 15 E. 2b). Die Eingabe vom 24. November 2011 wurde daher zu Recht vom BFM als Asylgesuch aus dem Ausland anhand genommen.</w:t>
      </w:r>
    </w:p>
    <w:p>
      <w:r>
        <w:rPr>
          <w:b/>
        </w:rPr>
        <w:t>E. 4.3</w:t>
      </w:r>
    </w:p>
    <w:p>
      <w:r>
        <w:t>Vorliegend wurde auf eine Befragung durch die Botschaft in Addis Abeba mangels entsprechender Kapazitäten verzichtet und dem Rechtsvertreter der Beschwerdeführerin - zwecks Wahrung des rechtlichen Gehörs - ein schriftlicher Fragenkatalog zugestellt. Vor dem Hintergrund der massgeblichen Praxis zur Behandlung von Asylgesuchen aus dem Ausland sowie unter Berücksichtigung der gesamten Aktenlage ist festzustellen, dass in vorliegender Sache auf eine Befragung der Beschwerdeführerin verzichtet werden durfte und mit der Einladung zur Stellungnahme den massgeblichen verfahrensrechtlichen Anforderun­gen Genüge getan wurde (vgl. dazu BVGE 2007/30).</w:t>
      </w:r>
    </w:p>
    <w:p>
      <w:r>
        <w:rPr>
          <w:b/>
        </w:rPr>
        <w:t>E. 5.1</w:t>
      </w:r>
    </w:p>
    <w:p>
      <w:r>
        <w:t>Das BFM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6.1</w:t>
      </w:r>
    </w:p>
    <w:p>
      <w:r>
        <w:t>Das Gericht ist sich der Tatsache bewusst, dass die aktuelle Situation im Flüchtlingslager B._______ für die Beschwerdeführerin nicht einfach ist. Das Gericht ist aber - in Übereinstimmung mit der Vorinstanz - der Ansicht, dass es der Beschwerdeführerin zugemutet werden kann, in Äthiopien beziehungsweise im genannten Flüchtlingslager zu verbleiben. Zur Vermeidung von Wiederholungen ist auf die ausführlichen und zutreffenden Erwägungen in der angefochtenen Verfügung zu verweisen (vgl. Bst. E.b.a vorstehend). Die Beschwerdevorbringen sind nicht geeignet, zu einer von der Vorinstanz abweichenden Betrachtungsweise zu führen. Die Beschwerdeführerin vermag aus den in der Beschwerde zitierten Urteilen des Bundesverwaltungsgerichts nichts zu ihren Gunsten abzuleiten, da diesen jeweils ein anderer Sachverhalt (u.a. unbegleitete Frau mit mindestens einem Kind, Ehemann als vorläufig aufgenommener Flüchtling in der Schweiz, keine nähere Beziehung zu einem anderen Staat) zugrunde lag. Des Weiteren ist darauf hinzuweisen, dass in den unter der Verwaltung des UNHCR stehenden Flücht­lingslagern ein minimaler Schutz gewährleistet und der Grundbedarf an Versorgung und Betreuung gedeckt ist (vgl. Urteil des Bundesverwaltungsgerichts D-5860/2012 vom 26. No­vem­ber 2012). Dies wird im Übrigen auch durch den von der Beschwerdeführerin eingereichten Arztbericht bestätigt, gemäss welchem sie in einem auf psychische Krankheiten spezialisierten Spital ("Federal Democratic Republic of Ethiopia Ministry of Health Amanuel Mental Specialized Hospital") untersucht wurde und Medikamente gegen ihre Angst erhalten hat. Inwiefern diese Behandlung nicht adäquat sein soll, ist aus den Akten nicht ersichtlich.</w:t>
      </w:r>
    </w:p>
    <w:p>
      <w:r>
        <w:rPr>
          <w:b/>
        </w:rPr>
        <w:t>E. 6.2</w:t>
      </w:r>
    </w:p>
    <w:p>
      <w:r>
        <w:t>Die Beschwerdeführerin ist nach dem Gesagten nicht auf den subsidiären Schutz der Schweiz angewiesen. Schliesslich vermag ihr in der Schweiz sich aufhaltender Bruder keinen derart gewichtigen Anknüpfungspunkt geltend zu machen, wonach eine Abwägung der Ge­samtumstände im Sinne von Art. 52 Abs. 2 AsylG dazu führen müsste, dass es gerade die Schweiz ist, die ihr den erforderlichen Schutz gewähren soll. Das BFM hat der Beschwerdeführerin somit zu Recht die Einreise in die Schweiz verweigert und deren Asylgesuch aus dem Ausland abgelehnt.</w:t>
      </w:r>
    </w:p>
    <w:p>
      <w:r>
        <w:rPr>
          <w:b/>
        </w:rPr>
        <w:t>E. 7</w:t>
      </w:r>
    </w:p>
    <w:p>
      <w:r>
        <w:t>Im Begründungsteil der angefochtenen Verfügung prüfte das BFM auch die Voraussetzungen der Familienzusammenführung gestützt auf Art. 51 Abs. 2 AsylG, obwohl hierzu - mangels entsprechenden Gesuchs - kein Anlass bestand (vgl. Bst. E.b.b vorstehend). Den diesbezüglichen Erwägungen des BFM wird auf Beschwerdeebene jedoch nichts entgegengehalten, weshalb sich weitere Erörterungen dazu erübrigen.</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9</w:t>
      </w:r>
    </w:p>
    <w:p>
      <w:r>
        <w:t>Mit dem Entscheid in der Sache ist das Gesuch um Erlass des Kostenvorschusses gegenstandslos geworden.</w:t>
      </w:r>
    </w:p>
    <w:p>
      <w:r>
        <w:rPr>
          <w:b/>
        </w:rPr>
        <w:t>E. 10</w:t>
      </w:r>
    </w:p>
    <w:p>
      <w:r>
        <w:t>Bei diesem Ausgang des Verfahrens wären die Kosten der Beschwer­deführerin aufzuerlegen (Art. 63 Abs. 1 VwVG). Diese ersuchte jedoch um Gewährung der unentgeltlichen Rechtspflege im Sinne von Art. 65 Abs. 1 VwVG. Danach kann die Beschwerdeinstanz eine bedürftige Partei, deren Begehren nicht aussichtslos erscheinen, auf Gesuch davon befreien, Verfahrenskosten zu bezahlen. Vorliegend ist von der Bedürftigkeit der Beschwerdeführerin auszugehen. Auch können die Beschwerdebegehren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