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D-1597/2013 vom 11. April 2013</w:t>
      </w:r>
    </w:p>
    <w:p>
      <w:r>
        <w:t>Bundesverwaltungsgericht, 2013-04-11, DE</w:t>
      </w:r>
    </w:p>
    <w:p>
      <w:r>
        <w:rPr>
          <w:b/>
        </w:rPr>
        <w:t xml:space="preserve">Quelle: </w:t>
      </w:r>
      <w:r>
        <w:t>https://mcp.opencaselaw.ch/entscheid/bvger_D-1597_2013</w:t>
      </w:r>
    </w:p>
    <w:p>
      <w:r>
        <w:t>FR: TAF D-1597/2013 du 11 avril 2013</w:t>
      </w:r>
    </w:p>
    <w:p>
      <w:r>
        <w:t>IT: TAF D-1597/2013 del 11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Die Amtssprachen des Bundes sind Deutsch, Französisch und Italienisch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einer zweiten Richterin oder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Die Asylbehörde hat den rechtserheblichen Sachverhalt von Amtes wegen festzustellen (Art. 6 AsylG i.V.m. Art. 12 VwVG). Der Grundsatz des rechtlichen Gehörs (Art. 29 Abs. 2 BV, Art. 29 VwVG, Art. 32 Abs. 1 VwVG) verlangt, dass die verfügende Behörde die Vor­bringen der betroffenen Person tatsächlich hört, sorgfältig und ernst­haft prüft und in der Entscheidfindung berücksichtigt, was sich ent­sprechend in der Entscheidbegründung niederschlagen muss (Entscheidungen und Mitteilun­gen der Schweizerischen Asylrekurs­kommission [EMARK] 2004 Nr. 38 E. 6.3 S. 264).</w:t>
      </w:r>
    </w:p>
    <w:p>
      <w:r>
        <w:rPr>
          <w:b/>
        </w:rPr>
        <w:t>E. 5.2</w:t>
      </w:r>
    </w:p>
    <w:p>
      <w:r>
        <w:t>Die angefochtene Verfügung bezieht sich - gemäss Rubrum sowie Dispositiv - sowohl auf den Beschwerdeführer, der im Sudan lebt, als auch auf die in Y._______ lebende Ehefrau des Beschwerdeführers und die drei gemeinsamen Kinder. In Anbetracht des höchstpersönlichen Charakters der Einreichung eines Asylgesuchs ist im vorliegenden Fall bereits fraglich, ob die Ehefrau überhaupt ein solches eingereicht hat (vgl. dazu BVGE 2011/39 S. 821 ff.). Die vorinstanzliche Verfügung ist aber insbesondere auch dahingehend mangelhaft, dass die genauen Lebensumstände der Familienangehörigen in Eritrea sowohl in der Sachverhaltserhebung als auch in der Begründung keinen Niederschlag gefunden haben. Die Verfügung erwähnt zwar, dass sich die Ehefrau und die Kinder in Y._______ aufhalten, setzt sich dann jedoch einzig mit der Situation des Beschwerdeführers im Sudan auseinander. Mithin stellt die vorinstanzliche Verfügung den rechtserheblichen Sachverhalt ungenügend fest und verletzt - aufgrund der mangelhaften Begründung - den Grundsatz des rechtlichen Gehörs.</w:t>
      </w:r>
    </w:p>
    <w:p>
      <w:r>
        <w:rPr>
          <w:b/>
        </w:rPr>
        <w:t>E. 5.3</w:t>
      </w:r>
    </w:p>
    <w:p>
      <w:r>
        <w:t>Gemäss Art. 61 Abs. 1 VwVG entscheidet das Bundesverwaltungsgericht in der Sache selbst oder weist diese ausnahms­weise mit verbindlichen Weisungen an die Vorinstanz zurück. In Anbetracht der soeben aufgezeigten Mängel in der Sachverhaltsermittlung sowie Begründung ist es vorliegend angezeigt, das Verfahren zur neuen Entscheidung - nach allfälligen weiteren Sachverhaltsabklärungen - an die Vorinstanz zurückzuweisen (vgl. Madeleine Camprubi, in: Auer/Müller/Schindler [Hrsg.], Kommentar zum Bundesgesetz über das Verwaltungsverfahren [VwVG], Zürich 2008, Rz. 10 f. zu Art. 61).</w:t>
      </w:r>
    </w:p>
    <w:p>
      <w:r>
        <w:rPr>
          <w:b/>
        </w:rPr>
        <w:t>E. 6</w:t>
      </w:r>
    </w:p>
    <w:p>
      <w:r>
        <w:t>Die Beschwerde ist somit gutzuheissen, soweit die Aufhebung der ange­fochtenen Verfügung beantragt wird. Die vorinstanzliche Verfügung vom 12. November 2012 ist aufzuheben und die Sache in Anwendung von Art. 61 Abs. 1 in fine VwVG zur vollständigen Sachverhaltsermitt­lung und Neubeurteilung im Sinne der Erwägungen an das BFM zurückzuweisen.</w:t>
      </w:r>
    </w:p>
    <w:p>
      <w:r>
        <w:rPr>
          <w:b/>
        </w:rPr>
        <w:t>E. 7.1</w:t>
      </w:r>
    </w:p>
    <w:p>
      <w:r>
        <w:t>Die Verfahrenskosten sind grundsätzlich von der unterliegenden Partei zu tragen (Art. 63 Abs. 1 VwVG). Da Vorinstanzen jedoch keine Verfahrenskosten auferlegt werden (Art. 63 Abs. 2 VwVG), sind im vorliegenden Fall keine Kosten zu erheben.</w:t>
      </w:r>
    </w:p>
    <w:p>
      <w:r>
        <w:rPr>
          <w:b/>
        </w:rPr>
        <w:t>E. 7.2</w:t>
      </w:r>
    </w:p>
    <w:p>
      <w:r>
        <w:t>Da die Beschwerdeführenden nicht vertreten sind,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