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D-1592/2010 vom 16. Juli 2010</w:t>
      </w:r>
    </w:p>
    <w:p>
      <w:r>
        <w:t>Bundesverwaltungsgericht, 2010-07-16, DE</w:t>
      </w:r>
    </w:p>
    <w:p>
      <w:r>
        <w:rPr>
          <w:b/>
        </w:rPr>
        <w:t xml:space="preserve">Quelle: </w:t>
      </w:r>
      <w:r>
        <w:t>https://mcp.opencaselaw.ch/entscheid/bvger_D-1592_2010</w:t>
      </w:r>
    </w:p>
    <w:p>
      <w:r>
        <w:t>FR: TAF D-1592/2010 du 16 juillet 2010</w:t>
      </w:r>
    </w:p>
    <w:p>
      <w:r>
        <w:t>IT: TAF D-1592/2010 del 16 luglio 2010</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des Bundesgesetzes vom 20. Dezember 1968 über das Verwaltungsverfahren [VwVG, SR 172.021]).</w:t>
      </w:r>
    </w:p>
    <w:p>
      <w:r>
        <w:rPr>
          <w:b/>
        </w:rPr>
        <w:t>E. 1.3</w:t>
      </w:r>
    </w:p>
    <w:p>
      <w:r>
        <w:t>Der Beschwerdeführer ist zur Beschwerdeführung legitimiert und die Beschwerdeeinreichung erfolgte sowohl frist- als auch formgerecht, weshalb auf die Beschwerdesache einzutreten ist (vgl. Art. 37 VGG i.V.m. Art. 112 AuG und Art. 48 Abs. 1, Art. 50 und 52 des Bundesgesetzes vom 20. Dezember 1968 über das Verwaltungsverfahren [VwVG, SR 172.021]).</w:t>
      </w:r>
    </w:p>
    <w:p>
      <w:r>
        <w:rPr>
          <w:b/>
        </w:rPr>
        <w:t>E. 1.4</w:t>
      </w:r>
    </w:p>
    <w:p>
      <w:r>
        <w:t>Da sich die Beschwerde - wie nachfolgend aufgezeigt - als zum vornherein unbegründet erweist, hat das Bundesverwaltungsgericht auf einen Schriftenwechsel verzichtet (Art. 57 Abs. 1 VwVG).</w:t>
      </w:r>
    </w:p>
    <w:p>
      <w:r>
        <w:rPr>
          <w:b/>
        </w:rPr>
        <w:t>E. 2</w:t>
      </w:r>
    </w:p>
    <w:p>
      <w:r>
        <w:t>Der Beschwerdeführer liess durch seine erstmandatierte Rechtsvertreterin die Rückweisung der Sache zwecks Neubeurteilung durch das BFM beantragen. Der entscheidrelevante Sachverhalt erscheint jedoch aufgrund der Akten als hinreichend erstellt, womit es keiner weiteren Sachverhaltsabklärung bedarf und das Bundesverwaltungsgericht in der Sache zu entscheiden hat (Art. 61 VwVG).</w:t>
      </w:r>
    </w:p>
    <w:p>
      <w:r>
        <w:rPr>
          <w:b/>
        </w:rPr>
        <w:t>E. 3.1</w:t>
      </w:r>
    </w:p>
    <w:p>
      <w:r>
        <w:t>Im vorliegenden Beschwerdeverfahren geht es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17. Oktober 2005 vorläufig aufgenommen wurde, ist aufgrund der genannten übergangsrechtlichen Regelung das Vorliegen der Voraussetzungen für die Aufhebung der vorläufigen Aufnahme nach neuem Recht - mithin nach Art. 84 Abs. 2 AuG - zu prüfen.</w:t>
      </w:r>
    </w:p>
    <w:p>
      <w:r>
        <w:rPr>
          <w:b/>
        </w:rPr>
        <w:t>E. 3.2</w:t>
      </w:r>
    </w:p>
    <w:p>
      <w:r>
        <w:t>Wurde eine Ausländerin oder ein Ausländer vorläufig in der Schweiz aufgenommen, so überprüft das BFM periodisch, ob im jeweiligen Einzelfall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3.3</w:t>
      </w:r>
    </w:p>
    <w:p>
      <w:r>
        <w:t>Gegenstand des vorliegenden Beschwerdeverfahrens bildet somit die Frage, ob das BFM - vor dem Hintergrund der heutigen Verhältnisse im Irak sowie der individuelle Situation des Beschwerdeführers - zu Recht den Wegweisungsvollzug als zulässig, zumutbar und möglich erklärt und die am 17. Oktober 2005 verfügte vorläufige Aufnahme des Beschwerdeführers aufgehoben hat.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 Walter Stöckli, Asyl, in: Uebersax/Rudin/Hugi Yar/Geiser, Ausländerrecht, 2. Auflage, Basel 2009, Rz. 11.148).</w:t>
      </w:r>
    </w:p>
    <w:p>
      <w:r>
        <w:rPr>
          <w:b/>
        </w:rPr>
        <w:t>E. 4.1.1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 nur Personen, welche die Flüchtlingseigenschaft im Sinne von Art. 3 AsylG respektive Art. 1 A FK erfüllen. Nachdem das BFF in seiner Verfügung vom 12. November 2004 festgestellt hat, dass der Beschwerdeführer die Flüchtlingseigenschaft nicht erfüllt, und der Entscheid in diesem Punkt unangefochten in Rechtskraft erwachsen ist, kann das Prinzip des flüchtlingsrechtlichen Rückschiebungsverbots vorliegend nicht zur Anwendung gelangen. Der Vollzug der Wegweisung des Beschwerdeführers ist daher unter dem Aspekt von Art. 5 AsylG rechtmässig.</w:t>
      </w:r>
    </w:p>
    <w:p>
      <w:r>
        <w:rPr>
          <w:b/>
        </w:rPr>
        <w:t>E. 4.1.2</w:t>
      </w:r>
    </w:p>
    <w:p>
      <w:r>
        <w:t>Im Weiteren darf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 niemand in einen Staat ausgeschafft werden, in dem ihm Folter oder eine andere Art unmenschlicher oder erniedrigender Strafe oder Behandlung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mit der Berufung auf eine Bedrohungslage von Seiten einer verfeindeten Familie nicht gelungen, mithin seine diesbezüglichen Vorbringen aufgrund der gesamten Aktenlage als offenkundig nachgeschoben zu erkennen sind. Es darf ohne weiteres geschlossen werden, dass er sich diesbezüglich im ursprünglichen Asylverfahren - im Sinne eines Zusatzargumentes - geäussert hätte, hätte eine solche Bedrohungslage im Zeitpunkt der Ausreise tatsächlich bestanden. Auch im Rahmen der Beschwerdeeingabe vom 3. Dezember 2004 wurde nichts in dieser Hinsicht geltend gemacht, wie auch in der Stellungnahme vom 16. Januar 2010 nichts über eine angeblich bestehende Bedrohungslage berichtet wurde. Das Vorbringen, er habe eine Verfolgung aus dem Irak bis in die Schweiz befürchtet, muss - vor dem Hintergrund fehlender Sachverhaltsschilderungen - als offenkundig haltlos bezeichnet werden. Zusammenfassend sind die Vorbringen betreffend eine angeblich in der Heimat bestehende Verfolgungsgefahr von Seiten einer verfeindeten Familie auch nicht ansatzweise als glaubhaft gemacht zu erkennen, womit im Falle des Beschwerdeführers keine individuellen Gründe ersichtlich sind, welche gegen die Zulässigkeit des Wegweisungsvollzuges sprechen würden. Nach Praxis des Bundesverwaltungsgerichts lässt schliesslich auch die allgemeine Sicherheits- und Menschenrechtslage in den drei Nordprovinzen des Irak (Dohuk, Erbil und Suleimaniya) den Wegweisungsvollzug in den Nordirak im heutigen Zeitpunkt nicht als unzulässig erscheinen, da von hinreichend gefestigten Verhältnissen auszugehen ist und die Sicherheits- und Justizbehörden der drei irakisch-kurdischen Nordprovinzen grundsätzlich in der Lage und auch willens sind, den Einwohnern Schutz vor Verfolgung zu gewähren (vgl. dazu BVGE 2008/4). Die anders lautenden Beschwerdevorbringen vermögen im Resultat nicht zu überzeugen.</w:t>
      </w:r>
    </w:p>
    <w:p>
      <w:r>
        <w:rPr>
          <w:b/>
        </w:rPr>
        <w:t>E. 4.1.3</w:t>
      </w:r>
    </w:p>
    <w:p>
      <w:r>
        <w:t>Gegen die Zulässigkeit des Wegweisungsvollzuges sprechen schliesslich - wie vom BFM zu Recht erkannt - auch die im Rahmen der Stellungnahme vom 16. Januar 2010 vorgebrachten Einwände nicht, unbesehen des Umstandes, dass diesbezüglich aufgrund der Akten nichts Stichhaltiges erkennbar ist und das Vorbringen auf Beschwerdeebene nicht wieder aufgenommen wurde.</w:t>
      </w:r>
    </w:p>
    <w:p>
      <w:r>
        <w:rPr>
          <w:b/>
        </w:rPr>
        <w:t>E. 4.1.4</w:t>
      </w:r>
    </w:p>
    <w:p>
      <w:r>
        <w:t>Der Vollzug der Wegweisung ist demnach sowohl im Sinne der asyl- als auch der völkerrechtlichen Bestimmungen zulässig.</w:t>
      </w:r>
    </w:p>
    <w:p>
      <w:r>
        <w:rPr>
          <w:b/>
        </w:rPr>
        <w:t>E. 4.2.1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4.2.2</w:t>
      </w:r>
    </w:p>
    <w:p>
      <w:r>
        <w:t>Das Bundesverwaltungsgericht geht nach einer umfassenden Beurteilung der aktuellen Situation in den drei nordirakischen Provinzen Dohuk, Sulaimaniya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insbes. 7.5.8).</w:t>
      </w:r>
    </w:p>
    <w:p>
      <w:r>
        <w:rPr>
          <w:b/>
        </w:rPr>
        <w:t>E. 4.2.3</w:t>
      </w:r>
    </w:p>
    <w:p>
      <w:r>
        <w:t>Die Sicherheitssituation im Nordirak hat sich seit Publikation des erwähnten Urteils - entgegen den sinngemäss anders lautenden Vorbringen - nicht verschlechtert. In der überwiegenden Mehrheit der Berichte von Regierungs- und Nichtregierungsorganisationen sowie des UN-Sicherheitsrats wird eine insgesamt stabile Situation beschrieben (vgl. dazu UK Home Office, Country of Origin Information Report vom 16. September 2009 über die Kurdistan Regional Government Area of Iraq).). Die Vorbringen des Beschwerdeführers betreffend eine angebliche Verschlechterung der Lage im Nordirak - welche auch vom UNHCR beklagt werde - vermögen im Resultat nicht zu überzeugen.</w:t>
      </w:r>
    </w:p>
    <w:p>
      <w:r>
        <w:rPr>
          <w:b/>
        </w:rPr>
        <w:t>E. 4.2.4</w:t>
      </w:r>
    </w:p>
    <w:p>
      <w:r>
        <w:t>Der gemäss den vorliegenden Akten alleinstehende, nunmehr 33-jährige Beschwerdeführer ist ethnischer Kurde und stammt aus der Provinz Dohuk. Aufgrund seiner Angaben betreffend seine familiären Verhältnisse ist davon auszugehen, dass er dort nach wie vor über ein beachtliches familiäres Beziehungsnetz verfügt, hat er doch angegeben, er habe in seiner Heimat - neben seinen Eltern - insgesamt sechs Brüder und drei Schwestern. Der Beschwerdeführer verfügt zwar eigenen Angaben zufolge kaum über eine nennenswerte Schulbildung und Berufserfahrung einzig als Hirte. Seine diesbezüglichen Angaben bezogen sich jedoch auf seinen angeblichen Werdegang in Z._______, weshalb sie nicht zu überzeugen vermögen. Auf der anderen Seite hat er in der Schweiz offenbar über mehrere Jahre Erfahrungen im Autoverwertungsgewerbe sammeln können (vgl. Arbeitgeberbestätigung), weshalb durchaus davon ausgegangen werden darf, er könne sich nach seiner Rückkehr in den Nordirak selbständig eine tragfähige Existenz aufbauen. Zur Überbrückung allfälliger Anfangsschwierigkeiten kann der Beschwerdeführer zudem - wie vom BFM zu Recht erwähnt - Rückkehrhilfe beantragen. Es ist demnach nicht davon auszugehen, dass der Beschwerdeführer bei seiner Rückkehr in die Provinz Dohuk aus individuellen Gründen wirtschaftlicher, sozialer oder gesundheitlicher Natur in eine existenzbedrohende Situation geraten würde.</w:t>
      </w:r>
    </w:p>
    <w:p>
      <w:r>
        <w:rPr>
          <w:b/>
        </w:rPr>
        <w:t>E. 4.2.5</w:t>
      </w:r>
    </w:p>
    <w:p>
      <w:r>
        <w:t>Festzuhalten bleibt, dass auch der bereits länger dauernde Aufenthalt des Beschwerdeführers in der Schweiz respektive die von ihm sinngemäss geltend gemachte gute Integration keine andere Beurteilung der Zumutbarkeit des Wegweisungsvollzugs zulässt. Nachdem die Bestimmungen betreffend die vorläufige Aufnahme infolge einer schwerwiegenden persönlichen Notlage (insbes. Art. 44 Abs. 3-5 AsylG in der Fassung vom 26. Juni 1998; AS 1999 2273) auf den 1. Januar 2007 aufgehoben worden sind, ist diesbezüglich im Verfahren vor dem Bundesverwaltungsgericht kein Prüfungsbereich mehr gegeben. Die Integration in der Schweiz war unter altem Recht primär im Rahmen jener Notlageprüfung zu berücksichtigen. Nach geltendem Recht ist es nun dem Kanton vorbehalten, mit Zustimmung des BFM einer ihm nach Gesetz zugewiesenen Person, die sich seit Einreichung des Asylgesuchs mindestens fünf Jahre in der Schweiz aufhält, eine Aufenthaltsbewilligung zu erteilen, wenn wegen der fortgeschrittenen Integration ein schwerwiegender persönlicher Härtefall vorliegt (Art. 14 Abs. 2 Bst. c AsylG). Alleine der Umstand, dass das BFM die vorläufige Aufnahme nicht schon früher aufgehoben hat, erscheint in diesem Sinne als nicht relevant.</w:t>
      </w:r>
    </w:p>
    <w:p>
      <w:r>
        <w:rPr>
          <w:b/>
        </w:rPr>
        <w:t>E. 4.2.6</w:t>
      </w:r>
    </w:p>
    <w:p>
      <w:r>
        <w:t>Nach den vorstehenden Erwägungen ist der Vollzug der Wegweisung als zumutbar zu bezeichnen.</w:t>
      </w:r>
    </w:p>
    <w:p>
      <w:r>
        <w:rPr>
          <w:b/>
        </w:rPr>
        <w:t>E. 4.3</w:t>
      </w:r>
    </w:p>
    <w:p>
      <w:r>
        <w:t>Der Wegweisungsvollzug in den Nordirak ist schliesslich praxisgemäss auch als möglich zu erkennen. Der Beschwerdeführer ist gehalten, die für eine Rückkehr notwendigen Reisedokumente bei der für ihn zuständigen Vertretung seines Heimatstaates zu beschaffen (Art. 8 Abs. 4 AsylG).</w:t>
      </w:r>
    </w:p>
    <w:p>
      <w:r>
        <w:rPr>
          <w:b/>
        </w:rPr>
        <w:t>E. 5</w:t>
      </w:r>
    </w:p>
    <w:p>
      <w:r>
        <w:t>Nach vorstehenden Erwägungen hat das BFM den Vollzug der Wegweisung zu Recht als zulässig, zumutbar und möglich erklärt,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daher abzuweisen.</w:t>
      </w:r>
    </w:p>
    <w:p>
      <w:r>
        <w:rPr>
          <w:b/>
        </w:rPr>
        <w:t>E. 6</w:t>
      </w:r>
    </w:p>
    <w:p>
      <w:r>
        <w:t>Der Beschwerdeführer hat in seinen Eingaben wiederholt auf seine guten respektive geregelten wirtschaftlichen Verhältnisse verwiesen, weshalb kein Anlass zur Annahme besteht, er sei bedürftig. Nach vorstehenden Erwägungen hat sich die Beschwerdesache zudem als von Anfang an aussichtslos erwiesen, weshalb das Gesuch um Erlass der Verfahrenskosten (im Sinne von Art. 65 Abs. 1 VwVG) abzuweisen ist. Bei dieser Sachlage - und unter Berücksichtigung des Ausgangs des vorliegenden Verfahrens - sind dem Beschwerdeführer die Kosten von Fr. 600.- aufzuerlegen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