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D-1587/2014 vom 13. Oktober 2014</w:t>
      </w:r>
    </w:p>
    <w:p>
      <w:r>
        <w:t>Bundesverwaltungsgericht, 2014-10-13, DE</w:t>
      </w:r>
    </w:p>
    <w:p>
      <w:r>
        <w:rPr>
          <w:b/>
        </w:rPr>
        <w:t xml:space="preserve">Quelle: </w:t>
      </w:r>
      <w:r>
        <w:t>https://mcp.opencaselaw.ch/entscheid/bvger_D-1587_2014</w:t>
      </w:r>
    </w:p>
    <w:p>
      <w:r>
        <w:t>FR: TAF D-1587/2014 du 13 octobre 2014</w:t>
      </w:r>
    </w:p>
    <w:p>
      <w:r>
        <w:t>IT: TAF D-1587/2014 del 13 ottobre 2014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(Art. 123 Abs. 2 Bst. a BGG) geltend, indem er sei­ner Eingabe insbesondere mehrere, vor dem Beschwerdeentscheid datie­rende Beweismittel beilegt. Der Gesuchsteller vermag durch den Um­schlag, in welchem er die Dokumente aus Bangladesch erhalten hatte, die Rechtzeitigkeit des Revisionsbegehrens darzulegen. Auf das im Übri­gen formgerecht eingereichte 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Moser/ Beusch/ Kneubühler, a.a.O., S. 249 f, Rz. 5.47).</w:t>
      </w:r>
    </w:p>
    <w:p>
      <w:r>
        <w:rPr>
          <w:b/>
        </w:rPr>
        <w:t>E. 4.1</w:t>
      </w:r>
    </w:p>
    <w:p>
      <w:r>
        <w:t>Im Sinne von Art. 123 Abs. 2 Bst. a BGG wird vorgebracht, er habe die Dokumente im Original erst nach Abschluss des ordentlichen Ver­fahrens aus Bangladesch erhalten, weshalb es nicht möglich gewesen sei, diese früher einzureichen.</w:t>
      </w:r>
    </w:p>
    <w:p>
      <w:r>
        <w:rPr>
          <w:b/>
        </w:rPr>
        <w:t>E. 4.2</w:t>
      </w:r>
    </w:p>
    <w:p>
      <w:r>
        <w:t>Die beiden neu im Original eingereichten Dokumente stammen beide aus dem Zeitraum vor Erlass der Beschwerdeurteils vom 19. Februar 2014 und wären damit grundsätzlich revisionsrechtlich relevant. Hingegen müssen diese offensichtlich als verspätet eingereicht qualifiziert werden. Der Gesuchsteller vermag nicht darzulegen, weshalb es ihm nicht zumut­bar und möglich gewesen sei, besagte Originale bereits im Rahmen des ordentlichen Verfahrens zu beschaffen. So wäre er im Rahmen seiner Sorgfalts- und Mitwirkungspflicht verpflichtet gewesen, diese bereits im erstinstanzlichen Verfahren zu beschaffen und schnellstmöglich einzurei­chen. Dass er erst knapp einen Monat nach Abschluss des ordentlichen Verfahrens die Dokumente, von welchen er wusste, dass diese von zen­traler Bedeutung für sein Asylgesuch wären, erhielt und einreichte, kann jedenfalls nicht als entschuldbares Unterlassen angesehen werden. Das Revisionsverfahren kann nicht dazu dienen, im früheren Verfahren be­gangene vermeidbare Unterlassungen eines Gesuchstellers nachzu­holen.</w:t>
      </w:r>
    </w:p>
    <w:p>
      <w:r>
        <w:rPr>
          <w:b/>
        </w:rPr>
        <w:t>E. 5.1</w:t>
      </w:r>
    </w:p>
    <w:p>
      <w:r>
        <w:t>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Entscheidungen und Mitteilungen der Schweizerischen Asylrekurskommission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Schweizerischen Asylrekurskommission (ARK) - dessen wesentliche Schlüsse auch für die Rechtsprechung des Bundesver­waltungsgerichts nach wie vor massgeblich sind (vgl. BVGE 2013/22 E. 5.4) - ausserdem fest, dass ein Abweichen von der Verwirkungsfolge im Sinne von Art. 125 BGG (bzw. Art. 66 Abs. 3 VwVG) nur in sehr engen Grenzen zulässig ist (EMARK 1995 Nr. 9 E. 7g; vgl. dazu auch August Mächler, in: Auer/Müller/Schindler [Hrsg.], Kommentar zum VwVG, 2008, Art. 66, N 26).</w:t>
      </w:r>
    </w:p>
    <w:p>
      <w:r>
        <w:rPr>
          <w:b/>
        </w:rPr>
        <w:t>E. 5.2</w:t>
      </w:r>
    </w:p>
    <w:p>
      <w:r>
        <w:t>So ist auch auf der Grundlage einer völkerrechtskonformen Ausle­gung von Art. 125 BGG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Abwie­chen vom Wortlaut von Art. 125 BGG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w:t>
      </w:r>
    </w:p>
    <w:p>
      <w:r>
        <w:t>Vorliegend haben die Abklärungen der Schweizerischen Vertretung in Dhaka ergeben, dass die eingereichten Originale - insbesondere das in Frage stehende Todesurteil, welches grundsätzlich geeignet wäre, eine Gefährdung im Sinne von Art. 3 EMRK nachzuweisen -, mit Ausnahme der Geburtsurkunde nicht als echt bezeichnet werden könnten. Die Bot­schaft begründete dies insbesondere aufgrund der unechten Stempel, Unterschriften, Inhalte, Aufzeichnungen, Schreibstil und Schriftart der Do­kumente. Zudem hätten mündliche Auskünfte unter anderem aufgezeigt, dass der Gesuchsteller, entgegen den Vorbringen im erstinstanzlichen Verfahren, ungefähr fünf Jahre in Malaysia, Dubai, Singapur und Italien gelebt habe. Bevor er ins Ausland gegangen sei, sei er Schüler und Pri­vatlehrer gewesen. Der Gesuchsteller habe zwei Brüder, einer davon lebe auch in der Schweiz.</w:t>
      </w:r>
    </w:p>
    <w:p>
      <w:r>
        <w:rPr>
          <w:b/>
        </w:rPr>
        <w:t>E. 5.4</w:t>
      </w:r>
    </w:p>
    <w:p>
      <w:r>
        <w:t>Das Bundesverwaltungsgericht sieht vorliegend keinen Anlass, an den ausführlichen und sorgfältig dargelegten Abklärungen der Schweizer Botschaft zu zweifeln. Aus den Abklärungen ist denn auch klar begründet, warum die Dokumente als Fälschungen zu betrachten sind, weshalb auf eine (wiederholte) Überprüfung der Dokumente durch einen Experten in der Schweiz im Sinne einer antizipierten Beweiswürdigung abgesehen werden kann (vgl. BVGE 2008/24 E. 7.2). Die Ergebnisse der Botschafts­abklärung wurden dem Gesuchsteller in zusammengefasster und über­setzter Form in der Verfügung vom 17. Juli 2014 mitgeteilt (Art. 27 Abs. 1 VwVG). Auch aus dem Verzicht des Gesuchstellers auf eine Stellung­nahme zu den Abklärungsergebnissen der Botschaft können keine ande­ren Schlussfolgerungen gezogen werden. Somit sind die mit dem Revi­sionsgesuch eingereichten Dokumente als Fälschungen zu bezeichnen, weshalb sie gestützt auf Art. 10 Abs. 4 AsylG einzuziehen sind.</w:t>
      </w:r>
    </w:p>
    <w:p>
      <w:r>
        <w:rPr>
          <w:b/>
        </w:rPr>
        <w:t>E. 5.5</w:t>
      </w:r>
    </w:p>
    <w:p>
      <w:r>
        <w:t>Da sich das Revisionsgesuch einzig auf die eingereichten Originale stützt, entzieht sich den Vorbringen des Gesuchstellers jegliche Grund­lage und die darauf aufgebauten Folgerungen können nicht aufrecht er­halten werden. Aus diesem Grund muss auch auf das Schreiben seines bangladeschischen Anwalts vom 13. Februar 2014 nicht näher eingegan­gen werden, da dieses nicht geeignet ist, etwas am Resultat zu ändern. Der Gesuchsteller kann somit keine beachtliche Wahrscheinlichkeit einer aktuellen, ernsthaften Gefahr schlüssig glaubhaft machen.</w:t>
      </w:r>
    </w:p>
    <w:p>
      <w:r>
        <w:rPr>
          <w:b/>
        </w:rPr>
        <w:t>E. 6</w:t>
      </w:r>
    </w:p>
    <w:p>
      <w:r>
        <w:t>Zusammenfassend ist festzuhalten, dass der Gesuchsteller das Vorliegen von völkerrechtlichen Wegweisungsvollzugshindernissen bereits im Zeit­punkt des Erlasses der vorinstanzlichen Verfügung beziehungsweise des Urteils des Bundesverwaltungsgerichts nicht glaubhaft zu machen ver­mochte und demzufolge nicht von einer überwie­genden Gefahr einer dro­henden Verletzung von Art. 33 Abs. 1 FK, Art. 3 EMRK oder Art. 3 FoK auszugehen war.</w:t>
      </w:r>
    </w:p>
    <w:p>
      <w:r>
        <w:rPr>
          <w:b/>
        </w:rPr>
        <w:t>E. 7</w:t>
      </w:r>
    </w:p>
    <w:p>
      <w:r>
        <w:t>Insgesamt konnten damit keine revisionsrechtlich relevanten Gründe vor­gebracht werden. Die Eingabe vom 5. März 2014 ist demzufolge als Revi­sionsgesuch abzuweisen.</w:t>
      </w:r>
    </w:p>
    <w:p>
      <w:r>
        <w:rPr>
          <w:b/>
        </w:rPr>
        <w:t>E. 8</w:t>
      </w:r>
    </w:p>
    <w:p>
      <w:r>
        <w:t>Durch die Einreichung von gefälschten Beweismitteln, wodurch das Revi­sionsverfahren ausgelöst wurde, hat sich der Gesuchsteller einer be­wussten Täuschung des Gerichts schuldig gemacht. So wusste der Ge­suchsteller von Beginn weg, dass die eingereichten Dokumente Fäl­schungen sind. Somit muss davon ausgegangen werden, dass die Einrei­chung des Revisionsgesuchs in erster Linie die Irreführung des Gerichts respektive einen Zeitgewinn zum Ziel hatte (vgl. Philippe Weissen­berger, in: Praxiskommentar VwVG, Waldmann/Weissenberger (Hrsg.), Zürich 2009, Art. 60 N 51 ff.). Der Gesuchsteller hat dem Vorwurf, es handle sich um Fälschungen, denn auch nichts entgegen zu halten. So­mit ist vorliegend die Einreichung des Revisionsgesuchs unter einziger Bezugnahme auf gefälschte Beweismittel als mutwillige Prozessführung zu würdigen, und demnach - im Hinblick auf die hohen Verfahrenskosten im Zusammenhang mit der Botschaftsabklärung - in Anwendung von Art. 60 Abs. 2 VwVG eine Ordnungsbusse von Fr. 800.- auszusprechen.</w:t>
      </w:r>
    </w:p>
    <w:p>
      <w:r>
        <w:rPr>
          <w:b/>
        </w:rPr>
        <w:t>E. 9</w:t>
      </w:r>
    </w:p>
    <w:p>
      <w:r>
        <w:t>Bei diesem Ausgang des Verfahrens wären die Kosten (Art. 16 Abs. 1 Bst. a VGG i.V.m. Art. 1-3 des Reglements vom 21. Februar 2008 über die Kosten und Entschädigungen vor dem Bundesverwaltungsgericht [VGKE, SR 173.320.2] dem Gesuchsteller aufzuerlegen (Art. 37 VGG i.V.m. Art. 63 Abs. 1 und 5 VwVG und Art. 68 Abs. 2 VwVG). Dem Gesuchsteller war jedoch mit Verfügung vom 14. April 2014 die unentgelt­liche Prozessführung nach Art. 65 Abs. 1 VwVG gewährt worden,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