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D-1580/2019 vom 12. März 2020</w:t>
      </w:r>
    </w:p>
    <w:p>
      <w:r>
        <w:t>Bundesverwaltungsgericht, 2020-03-12, FR</w:t>
      </w:r>
    </w:p>
    <w:p>
      <w:r>
        <w:rPr>
          <w:b/>
        </w:rPr>
        <w:t xml:space="preserve">Quelle: </w:t>
      </w:r>
      <w:r>
        <w:t>https://mcp.opencaselaw.ch/entscheid/bvger_D-1580_2019</w:t>
      </w:r>
    </w:p>
    <w:p>
      <w:r>
        <w:t>FR: TAF D-1580/2019 du 12 mars 2020</w:t>
      </w:r>
    </w:p>
    <w:p>
      <w:r>
        <w:t>IT: TAF D-1580/2019 del 12 marzo 2020</w:t>
      </w:r>
    </w:p>
    <w:p>
      <w:pPr>
        <w:pStyle w:val="Heading2"/>
      </w:pPr>
      <w:r>
        <w:t>Regeste</w:t>
      </w:r>
    </w:p>
    <w:p>
      <w:r>
        <w:t>Exécution du renvoi</w:t>
      </w:r>
    </w:p>
    <w:p>
      <w:pPr>
        <w:pStyle w:val="Heading2"/>
      </w:pPr>
      <w:r>
        <w:t>Erwägungen</w:t>
      </w:r>
    </w:p>
    <w:p>
      <w:r>
        <w:rPr>
          <w:b/>
        </w:rPr>
        <w:t>E. 1.1</w:t>
      </w:r>
    </w:p>
    <w:p>
      <w:r>
        <w:t>Les procédures pendantes à l'entrée en vigueur de la modification du 25 septembre 2015 de la LAsi sont régies par l'ancien droit, sauf exceptions non réalisées en l'espèce (cf. al. 1 des dispositions transitoires).</w:t>
      </w:r>
    </w:p>
    <w:p>
      <w:r>
        <w:rPr>
          <w:b/>
        </w:rPr>
        <w:t>E. 1.2</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 exception non réalisée in casu.</w:t>
      </w:r>
    </w:p>
    <w:p>
      <w:r>
        <w:rPr>
          <w:b/>
        </w:rPr>
        <w:t>E. 1.3</w:t>
      </w:r>
    </w:p>
    <w:p>
      <w:r>
        <w:t>Le Tribunal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Il prend ainsi en considération l'évolution de la situation intervenue depuis le dépôt de la demande d'asile (cf. ATAF 2010/57 consid. 2.6).</w:t>
      </w:r>
    </w:p>
    <w:p>
      <w:r>
        <w:rPr>
          <w:b/>
        </w:rPr>
        <w:t>E. 1.4</w:t>
      </w:r>
    </w:p>
    <w:p>
      <w:r>
        <w:t>En matière d'exécution du renvoi, le Tribunal examine, en sus des motifs de recours tirés d'une violation du droit fédéral, notamment pour abus ou excès dans l'exercice du pouvoir d'appréciation (art. 106 al. 1 let. a LAsi) et d'un établissement inexact ou incomplet de l'état de fait pertinent (art. 106 al. 1 let. b LAsi), le grief d'inopportunité (art. 112 al. 1 de la loi fédérale du 16 décembre 2005 sur les étrangers et l'intégration [LEI, RS 142.20], en relation avec l'art. 49 PA ; cf. ATAF 2014/26 consid. 5.6 et 7.8).</w:t>
      </w:r>
    </w:p>
    <w:p>
      <w:r>
        <w:rPr>
          <w:b/>
        </w:rPr>
        <w:t>E. 2</w:t>
      </w:r>
    </w:p>
    <w:p>
      <w:r>
        <w:t>Les recourants ont qualité pour recourir (art. 48 PA). Présenté dans la forme (art. 52 al. 1 PA) et dans le délai (anc. art. 108 al. 2 LAsi) prescrits par la loi, le recours est recevable.</w:t>
      </w:r>
    </w:p>
    <w:p>
      <w:r>
        <w:rPr>
          <w:b/>
        </w:rPr>
        <w:t>E. 3.1</w:t>
      </w:r>
    </w:p>
    <w:p>
      <w:r>
        <w:t>Dans un premier grief formel, les recourants se sont plaints de la violation de leur droit d'être entendus. Le SEM n'aurait pas suffisamment pris position sur la question de l'exigibilité de leur renvoi. De plus, ils estiment qu'ils auraient dû recevoir des copies des « Consultings médicaux » sur lesquels l'autorité inférieure s'est fondée.</w:t>
      </w:r>
    </w:p>
    <w:p>
      <w:r>
        <w:rPr>
          <w:b/>
        </w:rPr>
        <w:t>E. 3.2</w:t>
      </w:r>
    </w:p>
    <w:p>
      <w:r>
        <w:t>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 qu'en tant que droit de participation, le droit d'être entendu englobe donc tous les droits qui doivent être attribués à une partie pour qu'elle puisse faire valoir efficacement son point de vue dans une procédure (cf. ATAF 2013/23 consid. 6.1.1). La jurisprudence a aussi déduit du droit d'être entendu l'obligation pour l'autorité de motiver sa décision, afin que le destinataire puisse la comprendre, l'attaquer utilement s'il y a lieu, et afin que l'autorité de recours puisse exercer son contrôle ;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 cf. également ATAF 2012/23 consid. 6.1.2 et 2008/47 consid. 3.2).</w:t>
      </w:r>
    </w:p>
    <w:p>
      <w:r>
        <w:rPr>
          <w:b/>
        </w:rPr>
        <w:t>E. 3.3</w:t>
      </w:r>
    </w:p>
    <w:p>
      <w:r>
        <w:t>En l'occurrence, le SEM a examiné la question de l'exigibilité de l'exécution du renvoi dans les considérants de la décision entreprise. Il a tenu compte des rapports médicaux versés au dossier et a diligenté deux « Consultings médicaux » pour s'informer des possibilités de soins concrets en Géorgie. On ne peut ainsi lui reprocher de ne pas avoir suffisamment motivé sa décision sur ce point.</w:t>
      </w:r>
    </w:p>
    <w:p>
      <w:r>
        <w:rPr>
          <w:b/>
        </w:rPr>
        <w:t>E. 3.4</w:t>
      </w:r>
    </w:p>
    <w:p>
      <w:r>
        <w:t>S'agissant de la transmission des « Consultings médicaux » aux recourants, nonobstant le fait que le premier de ces documents ait été classé comme « pièce interne » par le SEM, rien ne s'opposait à ce qu'ils soient soumis tous les deux à consultation, le cas échéant sous une forme légèrement caviardée. Ils ne comportent aucune information confidentielle et sont basés sur des sources d'informations publiques et officielles. Le Tribunal a déjà eu l'occasion de se prononcer sur cette question à plusieurs reprises. Conformément à la jurisprudence, il y a donc lieu d'admettre sur ce point une violation du droit d'être entendu des recourants (cf. notamment les arrêts du Tribunal D-1248/2016 du 10 mars 2016 ; D-3905/2015 du 3 juillet 2015 ; E-3903/2013 du 6 août 2013 ; D-2853/2013 du 29 mai 2013).</w:t>
      </w:r>
    </w:p>
    <w:p>
      <w:r>
        <w:rPr>
          <w:b/>
        </w:rPr>
        <w:t>E. 3.5</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revoyant librement toutes les questions qui auraient pu être soumises à l'autorité inférieure (cf. ATAF 2007/30 consid. 8).</w:t>
      </w:r>
    </w:p>
    <w:p>
      <w:r>
        <w:rPr>
          <w:b/>
        </w:rPr>
        <w:t>E. 3.6</w:t>
      </w:r>
    </w:p>
    <w:p>
      <w:r>
        <w:t>En l'espèce, il y a lieu de constater que ces documents n'étaient pas indispensables au bon déroulement de la procédure et qu'ils n'étaient pas de nature à influer, en soi, sur l'issue de la cause. Ils reprennent, pour l'essentiel, ce qui découle de la jurisprudence du Tribunal en ce qui concerne l'accès aux soins en Géorgie (cf. notamment l'arrêt E-6650/2018 du 19 mars 2019). Par ailleurs, le SEM en a présenté les éléments essentiels dans la décision entreprise et dans le cadre de son préavis. Les recourants ont ainsi été en mesure de se déterminer à cet égard en procédure de recours. Le Tribunal disposant d'un plein pouvoir de cognition, ce vice est guéri dans le cadre de la présente procédure.</w:t>
      </w:r>
    </w:p>
    <w:p>
      <w:r>
        <w:rPr>
          <w:b/>
        </w:rPr>
        <w:t>E. 4</w:t>
      </w:r>
    </w:p>
    <w:p>
      <w:r>
        <w:t>Sur le fond, les recourants n'ont pas recouru contre la décision du SEM de non-entrée en matière sur leur demande d'asile, de sorte que, sous cet angle, elle a acquis force de chose décidée.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Est donc seule litigieuse la question de l'exécution du renvoi.</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7.4</w:t>
      </w:r>
    </w:p>
    <w:p>
      <w:r>
        <w:t>S'agissant des problèmes médicaux,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 voir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7.5</w:t>
      </w:r>
    </w:p>
    <w:p>
      <w:r>
        <w:t>En l'occurrence, le Tribunal relève que l'exécution du renvoi ne contrevient pas au principe de non-refoulement de l'art. 5 LAsi, les recourants n'ayant pas allégué qu'ils seraient, en cas de retour dans leur pays, exposés à de sérieux préjudices au sens de l'art. 3 LAsi. Il ne ressort, en outre, pas du dossier un risque qu'ils soient soumis, en cas de renvoi, à un traitement prohibé par l'art. 3 CEDH ou par l'art. 3 Conv. torture.</w:t>
      </w:r>
    </w:p>
    <w:p>
      <w:r>
        <w:rPr>
          <w:b/>
        </w:rPr>
        <w:t>E. 7.6</w:t>
      </w:r>
    </w:p>
    <w:p>
      <w:r>
        <w:t>Comme relevé ci-dessous (consid. 5.3 ss), malgré son état de santé, l'enfant des recourants ne se trouve pas dans un cas très exceptionnel pouvant soulever un problème au regard de l'art. 3 CEDH. Il n'est en effet pas dans une situation de décès imminent, ni atteint d'une maladie qui serait mortelle, sans traitement, ou d'une maladie conduisant nécessairement, sans traitement, à un déclin grave, rapide et irréversible de son état de santé, d'autant moins que les traitements nécessaires sont disponibles en Géorgie.</w:t>
      </w:r>
    </w:p>
    <w:p>
      <w:r>
        <w:rPr>
          <w:b/>
        </w:rPr>
        <w:t>E. 7.7</w:t>
      </w:r>
    </w:p>
    <w:p>
      <w:r>
        <w:t>Dès lors, l'exécution du renvoi des recourants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La Géorgie, même si les régions d'Abkhazie et d'Ossétie du Sud connaissent encore des situations tendues, ne se trouve pas en proie à une situation de guerre, de guerre civile ou de violence généralisée qui permettrait d'emblée, et indépendamment des circonstances du cas d'espèce, de présumer, à propos de tous les ressortissants du pays, l'existence d'une mise en danger concrète au sens de l'art. 83 al. 4 LEI.</w:t>
      </w:r>
    </w:p>
    <w:p>
      <w:r>
        <w:rPr>
          <w:b/>
        </w:rPr>
        <w:t>E. 8.3</w:t>
      </w:r>
    </w:p>
    <w:p>
      <w:r>
        <w:t>S'agissant des problèmes médicaux de l'enfant des recourants, le Tribunal rappelle que, selon une jurisprudence constante, l'exécution du renvoi des personnes en traitement médical en Suisse ne devient inexigible, en cas de retour dans leur pays d'origine ou de provenance,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arrêt du Tribunal E-340/2019 du 25 avril 2019 consid. 5.3).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 E-340/2019 consid. 5.3).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 2009/2 consid. 9.3.2). Enfin, eu égard à la définition des soins essentiels précitée, la tradition humanitaire de la Suisse n'a pas vocation à s'appliquer en faveur de ressortissants de pays tiers qui ont mis à profit l'exemption de l'obligation d'être munis d'un visa lors du franchissement des frontières extérieures des Etats membres de l'espace Schengen pour des séjours de courte durée (inférieurs à 90 jours sur toute période de 180 jours), pour entrer en Suisse et y solliciter un droit de séjour de longue durée en vue d'y accéder gratuitement à des soins coûteux, voire à des traitements de médecine de pointe inconnus dans leur pays, et d'améliorer ainsi leurs chances de guérison d'une maladie préexistante (cf. arrêts du Tribunal D-7334/2018 du 28 février 2019 et E-6609/2018 du 4 décembre 2018).</w:t>
      </w:r>
    </w:p>
    <w:p>
      <w:r>
        <w:rPr>
          <w:b/>
        </w:rPr>
        <w:t>E. 8.4</w:t>
      </w:r>
    </w:p>
    <w:p>
      <w:r>
        <w:t>En l'espèce, il sied de rappeler, à titre liminaire, que le système de santé géorgien a connu d'importantes restructurations ces dernières années et que de grands progrès ont été réalisés, de sorte que le traitement de la plupart des troubles somatiques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E-340/2019 précité consid. 5.4 et D-2325/2015 du 20 avril 2016 consid. 6.3-6.5 et réf. cit.). Certes, malgré la couverture d'assurance-maladie universelle (Universal Health Care) en vigueur depuis 2013, les médicaments demeurent, en tout ou en partie, à la charge des patients. Il existe néanmoins des aides additionnelles pour le remboursement de médicaments contre des maladies chroniques en faveur de personnes vulnérables. La « Social Service Agency » peut en outre prendre en charge la totalité des frais médicaux pour les personnes les plus vulnérables de la société géorgienne (cf. arrêts du Tribunal E-4483/2019 du 25 septembre 2019 consid. 7.2.4 et réf. cit. ; E-340/2019 du 25 avril 2019 consid. 5.6.4 et réf. cit. ; D-2325/2015 du 20 avril 2016 consid. 6.3).</w:t>
      </w:r>
    </w:p>
    <w:p>
      <w:r>
        <w:rPr>
          <w:b/>
        </w:rPr>
        <w:t>E. 8.5</w:t>
      </w:r>
    </w:p>
    <w:p>
      <w:r>
        <w:t>La situation de l'enfant des recourants, telle qu'elle ressort des rapports médicaux versés au dossier, est sérieuse et il n'y a pas lieu de la minimiser. Cela étant, il ressort tant des « Consultings médicaux » précités que des déclarations de la pédiatre en charge de l'intéressé, rapportées au Tribunal par les recourants, que des soins adéquats et adaptés à l'état de l'enfant sont disponibles en Géorgie. En effet, l'acide valproïque est disponible dans ce pays, ce qui constitue une alternative raisonnable (cf. déterminations du 13 juin 2019). Les autres thérapies préconisées pour sa prise en charge sont également disponibles dans ce pays, en particulier à Tbilissi, le fait que celles-là ne soient pas du niveau de celles disponibles en Suisse n'étant pas décisif en la matière. Il faut encore souligner à cet égard qu'une prise en charge globale de l'enfant C._______, telle que préconisée par ses thérapeutes, ne constitue pas un soin essentiel au sens de la jurisprudence, dans la mesure où elle n'a pas pour but premier de stabiliser sa situation médicale, mais d'améliorer sa qualité de vie. Les intéressés se plaignent certes des coûts de traitement. Il ne ressort toutefois pas du dossier qu'ils aient entrepris des démarches dans leur pays d'origine pour obtenir une couverture sociale ou étatique des coûts afférents à la prise en charge médicale de leur enfant. Ce comportement leur est imputable, par analogie au principe selon lequel la protection internationale revêt un caractère subsidiaire par rapport à la protection nationale. Il leur incombait de s'adresser en priorité aux programmes sociaux et de santé disponibles dans leur Etat, avant de faire appel à la tradition humanitaire de la Suisse en matière de soins (cf. sur cette question, E-6650/2018 consid. 3.6.4.1). Dans ces conditions, on ne saurait considérer qu'en cas d'exécution du renvoi en Géorgie, l'état de santé de l'enfant se dégraderait très rapidement au point de conduire, d'une manière certaine, à la mise en danger concrète de sa vie ou à une atteinte sérieuse, durable, et notablement plus grave de son intégrité physique, faute de possibilité d'être soigné (cf. ATAF 2011/50 consid. 8.3 et réf. cit.). Une fois dûment enregistrés dans leur pays, les recourants pourront effectuer les démarches nécessaires pour bénéficier de prestations médicales et sociales qui ne devraient pas leur poser de difficultés particulières.</w:t>
      </w:r>
    </w:p>
    <w:p>
      <w:r>
        <w:rPr>
          <w:b/>
        </w:rPr>
        <w:t>E. 8.6</w:t>
      </w:r>
    </w:p>
    <w:p>
      <w:r>
        <w:t>Il n'y a pas de raison de considérer que les recourants, qui proviennent de la région de E._______, ne pourraient pas, au besoin, s'établir dans une autre région du pays, notamment dans la capitale. A toutes fins utiles, on relève que, selon (...), il existe un centre (...) à E._______ (cf. le site internet [...], consulté le 12.02.20). Par ailleurs, il leur sera possible, le cas échéant, de se constituer une réserve de médicaments avant leur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Il est vrai qu'un bilan spécialisé de développement et un bilan pulmonaire sont encore prévus (cf. rapport médical du 31 janvier 2020). Toutefois, la mise en place d'une prise en charge différente que celle précitée est un fait futur incertain. Celle-ci est en conséquence dénuée de pertinence quant à la question de l'exigibilité du renvoi (cf. sur cette question, E-6650/2018 consid. 3.6.4.1).</w:t>
      </w:r>
    </w:p>
    <w:p>
      <w:r>
        <w:rPr>
          <w:b/>
        </w:rPr>
        <w:t>E. 8.7</w:t>
      </w:r>
    </w:p>
    <w:p>
      <w:r>
        <w:t>Au stade du recours, les intéressés ont encore soutenu ne pas avoir de réseau social et/ou familial solide en Géorgie et ne pas être en mesure de reprendre une activité lucrative une fois de retour, vu la situation économique générale prévalant dans ce pays. Il ne s'agit cependant que d'une simple affirmation de leur part, nullement étayée. Par ailleurs, Il convient de relever que les recourants sont jeunes, apparemment en bonne santé et aptes à travailler, nonobstant un handicap à la main de l'intéressé. Celui-ci peut en outre se prévaloir d'une formation supérieure et d'une expérience professionnelle. Dans ces conditions, ils devraient pouvoir se réinstaller dans leur pays sans rencontrer des difficultés excessives. Cela étant dit, comme mentionné ci-dessus, ils sont invités à faire les démarches nécessaires afin de bénéficier de l'aide de l'Etat en cas de besoin.</w:t>
      </w:r>
    </w:p>
    <w:p>
      <w:r>
        <w:rPr>
          <w:b/>
        </w:rPr>
        <w:t>E. 8.8</w:t>
      </w:r>
    </w:p>
    <w:p>
      <w:r>
        <w:t>Compte tenu de l'ensemble des éléments rappelés ci-dessus, rien n'indique que l'enfant C._______ ne pourrait pas avoir accès, en cas de retour en Géorgie, aux soins indispensables à ses problèmes de santé.</w:t>
      </w:r>
    </w:p>
    <w:p>
      <w:r>
        <w:rPr>
          <w:b/>
        </w:rPr>
        <w:t>E. 8.9</w:t>
      </w:r>
    </w:p>
    <w:p>
      <w:r>
        <w:t>Pour ces motifs, l'exécution du renvoi doit être considérée comme raisonnablement exigible (art. 83 al. 4 LEI ; cf. ATAF 2011/50 consid. 8.1 8.3 et jurisp. cit.).</w:t>
      </w:r>
    </w:p>
    <w:p>
      <w:r>
        <w:rPr>
          <w:b/>
        </w:rPr>
        <w:t>E. 9</w:t>
      </w:r>
    </w:p>
    <w:p>
      <w:r>
        <w:t>Enfin, les recourants sont en possession de passeports en cours de validité. L'exécution du renvoi ne se heurte donc pas à des obstacles insurmontables d'ordre technique et s'avère également possible (art. 83 al. 2 LEI ; cf. ATAF 2008/34 consid. 12 et jurisp. cit.).</w:t>
      </w:r>
    </w:p>
    <w:p>
      <w:r>
        <w:rPr>
          <w:b/>
        </w:rPr>
        <w:t>E. 10.1</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10.2</w:t>
      </w:r>
    </w:p>
    <w:p>
      <w:r>
        <w:t>En conséquence, le recours est rejeté.</w:t>
      </w:r>
    </w:p>
    <w:p>
      <w:r>
        <w:rPr>
          <w:b/>
        </w:rPr>
        <w:t>E. 11.1</w:t>
      </w:r>
    </w:p>
    <w:p>
      <w:r>
        <w:t>Les conclusions du recours n'apparaissant pas d'emblée dénuées de chances de succès et l'indigence des recourants n'étant pas contestée, la demande d'assistance judiciaire partielle doit être admise (art. 65 al. PA).</w:t>
      </w:r>
    </w:p>
    <w:p>
      <w:r>
        <w:rPr>
          <w:b/>
        </w:rPr>
        <w:t>E. 11.2</w:t>
      </w:r>
    </w:p>
    <w:p>
      <w:r>
        <w:t>Il n'est ainsi pas perçu de frais de procédure (art.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