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D-157/2023 vom 18. Januar 2023</w:t>
      </w:r>
    </w:p>
    <w:p>
      <w:r>
        <w:t>Bundesverwaltungsgericht, 2023-01-18, DE</w:t>
      </w:r>
    </w:p>
    <w:p>
      <w:r>
        <w:rPr>
          <w:b/>
        </w:rPr>
        <w:t xml:space="preserve">Quelle: </w:t>
      </w:r>
      <w:r>
        <w:t>https://mcp.opencaselaw.ch/entscheid/bvger_D-157_2023</w:t>
      </w:r>
    </w:p>
    <w:p>
      <w:r>
        <w:t>FR: TAF D-157/2023 du 18 janvier 2023</w:t>
      </w:r>
    </w:p>
    <w:p>
      <w:r>
        <w:t>IT: TAF D-157/2023 del 18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Der Beschwerdeführer rügt, das SEM habe die Untersuchungspflicht sowie die Prüfungs- und Begründungspflicht und damit den Anspruch auf rechtliches Gehör verletzt, indem es die Gefahr einer Verletzung von Art. 3 EMRK im Falle einer Überstellung nach Kroatien sowie den medizinischen Sachverhalt ungenügend abgeklärt, die geltend gemachten Erlebnisse sowie die ihm in Kroatien drohende Gefahr einer völkerrechtswidrigen Behandlung nicht individuell geprüft und die angefochtene Verfügung nicht einzelfallspezifisch begründet habe. Zudem habe es die Frage der Kettenabschiebung nicht geprüft, einschlägige Berichte von Nichtregierungsorganisationen (NGO) nicht beachtet und nicht berücksichtigt, dass deutsche Gerichte teilweise durchaus systemische Mängel festgestellt hätten.</w:t>
      </w:r>
    </w:p>
    <w:p>
      <w:r>
        <w:rPr>
          <w:b/>
        </w:rPr>
        <w:t>E. 5.2</w:t>
      </w:r>
    </w:p>
    <w:p>
      <w:r>
        <w:t>Hinsichtlich des medizinischen Sachverhalts ist festzustellen, dass der Beschwerdeführer im Dublingespräch vom 16. Dezember 2022 geltend gemacht hat, er habe seit den Misshandlungen durch die kroatische Polizei beim Sitzen, Gehen und Schlafen (...) (A15 S. 2). Einer Aktennotiz vom 4. Januar 2023 ist dagegen zu entnehmen, er habe vor seiner Verlegung nach C._______ nicht über (...)- sondern über (...) geklagt und sich nach seiner Verlegung (am [...]) nie mehr bei MedicHelp gemeldet. Es seien keine ärztlichen Termine ausstehend (vgl. A20). Bei dieser Sachlage konnte das SEM zu Recht ohne weitere Abklärungen davon ausgehen, es lägen keine dringend behandlungsbedürftigen respektive nicht ohne weiteres auch in Kroatien behandelbaren gesundheitlichen Probleme vor. Es ist daher diesbezüglich von einem spruchreifen Sachverhalt auszugehen, zumal der Beschwerdeführer auch auf Beschwerdeebene weder weitergehende Ausführungen zu seinem angeblichen (...) gemacht noch entsprechende Beweismittel eingereicht hat. Entgegen dem Vorbringen in der Beschwerde hat das SEM sodann in der angefochtenen Verfügung die vom Beschwerdeführer geschilderten Erlebnisse in Kroatien ausdrücklich zur Kenntnis genommen und in diesem Zusammenhang die Frage erörtert (und letztlich verneint), ob von systemischen Mängeln im kroatischen Asylsystem auszugehen sei. Es hat dabei u.a. auf die fundierten Abklärungen der Schweizer Botschaft in Kroatien (zuletzt vom März 2022) verwiesen. Ferner hat es festgestellt, es sei nicht davon auszugehen, dass bei einer Überstellung nach Kroatien eine Verletzung von Art. 3 EMRK oder des Non-Refoulement-Gebots (dieses umfasst auch die Kettenabschiebung) drohe. Das SEM ist damit der ihm obliegenden Untersuchungs- sowie der Prüfungs- und Begründungspflicht (vgl. Art. 6 AsylG i.V.m. Art. 12 VwVG; Art. 35 Abs. 1 VwVG) in genügender Weise nachgekommen, und es war dem Beschwerdeführer offensichtlich ohne weiteres möglich, die vorinstanzliche Verfügung sachgerecht anzufechten. Demnach kann keine Verletzung des Anspruchs auf rechtliches Gehör (vgl. Art. 29 Abs. 2 BV; Art. 29 VwVG) festgestellt werden. Der Umstand, dass sich das SEM bei seinen Erwägungen auf andere als die vom Beschwerdeführer als opportun erachteten Quellen gestützt hat respektive zu einer anderen Einschätzung der Lage kommt als der Beschwerdeführer, und dass deutsche Gerichte in Einzelfällen das Vorliegen von systemischen Mängeln bejaht haben, ändert daran nichts, ebenso wenig der Verweis des Beschwerdeführers auf das Urteil des Bundesverwaltungsgerichts F-5675/2021 vom 6. Januar 2022, welchem ein völlig anders gelagerter Sachverhalt zugrunde lag. Die formellen Rügen erweisen sich nach dem Gesagten als unbegründet, weshalb der eventualiter gestellte Rückweisungsantrag abzuweisen ist.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Den Akten zufolge stellte der Beschwerdeführer am (...) in Kroatien ein Asylgesuch und wurde dort gleichentags daktyloskopiert. Die zuständigen kroatischen Behörden stimmten dem Wiederaufnahmeersuchen des SEM vom 20. Dezember 2022 innert der massgeblichen Frist ausdrücklich zu. Die grundsätzliche Zuständigkeit Kroatiens für die Durchführung des Asyl- und Wegweisungsverfahrens betreffend den Beschwerdeführer ist damit gegeben, zumal der Beschwerdeführer seinen vorgängigen Aufenthalt in Kroatien nicht bestreitet. Sein sinngemässer Einwand, er habe nicht in Kroatien um Asyl nachsuchen, sondern weiterreisen wollen, ändert daran nichts, da die Dublin-III-VO den Schutzsuchenden nicht das Recht einräumt, den ihren Antrag prüfenden Staat selber auszuwählen (vgl. BVGE 2010/45 E. 8.3).</w:t>
      </w:r>
    </w:p>
    <w:p>
      <w:r>
        <w:rPr>
          <w:b/>
        </w:rPr>
        <w:t>E. 7.2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genannten Berichte diverser Organisationen,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E-5984/2022 vom 3. Januar 2023 E. 7.2 und E-5614/2022 vom 19. Dezember 2022 E. 5.2). Die in der Beschwerde zitierten Urteile zweier deutschen Gerichte und Berichte verschiedener Menschenrechtsorganisationen respektive Medienberichte vermögen an dieser Einschätzung nichts zu ändern.</w:t>
      </w:r>
    </w:p>
    <w:p>
      <w:r>
        <w:rPr>
          <w:b/>
        </w:rPr>
        <w:t>E. 7.2.2</w:t>
      </w:r>
    </w:p>
    <w:p>
      <w:r>
        <w:t>Insbesondere lassen auch die vom Beschwerdeführer bei seiner irregulären Einreise nach Kroatien angeblich erlebten Gewaltanwendungen durch Polizisten nicht den Schluss zu, er habe bei einer Überstellung nach Kroatien mit hoher Wahrscheinlichkeit eine unmenschliche und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blosse Umstand, dass dies möglicherweise mit grösseren Hürden und Schwierigkeiten verbunden sein könnte als in der Schweiz, weist per se nicht auf systematische Schwachstellen im kroatischen Asylsystem hin (vgl. das Urteil des BVGer E-5614/2022 vom 19. Dezember 2022 E. 5.2).</w:t>
      </w:r>
    </w:p>
    <w:p>
      <w:r>
        <w:rPr>
          <w:b/>
        </w:rPr>
        <w:t>E. 7.2.3</w:t>
      </w:r>
    </w:p>
    <w:p>
      <w:r>
        <w:t>Soweit in der Beschwerde darauf verwiesen wird, dass es an der kroatischen Grenze regelmässig zu sogenannten Push-backs kommt, ist zunächst festzustellen, dass der Beschwerdeführer den Akten zufolge davon nicht betroffen war. Vielmehr wurde er nach seiner Anhaltung durch die kroatischen Behörden umgehend daktyloskopiert, und es wurde ein Asylverfahren eingeleitet (vgl. A15 S. 1 sowie A19 S. 1). Das SEM hat in der angefochtenen Verfügung zudem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 als den für die Durchführung des Asylverfahrens zuständigen Mitgliedstaat - überstellt werden (vgl. dazu auch das Urteil des BVGer E-5984/2022 vom 3. Januar 2023 E. 7.4). Diesen droht grundsätzlich weder eine (Ketten-)Abschiebung noch systematische Gewaltanwendung durch die kroatische Polizei, und der Zugang zu einem rechtsstaatlichen Asyl- und Wegweisungsverfahren steht ihnen offen.</w:t>
      </w:r>
    </w:p>
    <w:p>
      <w:r>
        <w:rPr>
          <w:b/>
        </w:rPr>
        <w:t>E. 7.2.4</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7.3.1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unsubstanziierte Vorbringen des Beschwerdeführers, er habe während seines - offenbar nur (...) Tage dauernden - Aufenthalts in Kroatien keine Verpflegung erhalten und etwas unterschreiben müssen, was er nicht verstanden habe (vgl. A15 S. 1 und 2),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vorenthalten würden. Gegebenenfalls wäre es ihm zudem zuzumuten, die ihm zustehenden Rechte und Leistungen auf dem Rechtsweg einzufordern.</w:t>
      </w:r>
    </w:p>
    <w:p>
      <w:r>
        <w:rPr>
          <w:b/>
        </w:rPr>
        <w:t>E. 7.3.2</w:t>
      </w:r>
    </w:p>
    <w:p>
      <w:r>
        <w:t>Soweit der Beschwerdeführer auf angebliche (...) verweist ist festzustellen, dass aufgrund der Aktenlage nicht davon auszugehen ist, dass es sich dabei um ein schwerwiegendes gesundheitliches Problem handelt, welches einer Überstellung nach Kroatien entgegenstehen könnte. Der Beschwerdeführer leidet eigenen Angaben zufolge schon seit längerem an Schmerzen im Bereich der (...), wobei es sich allenfalls auch um (...) handeln könnte. Er bemühte sich jedoch nach seiner Verlegung nach C._______, welche am (...) stattfand, und der damit einhergehenden Stornierung eines Arzttermins in B._______ nicht mehr aktiv um einen neuen Arzttermin (vgl. dazu die Aktennotiz vom 14. Januar 2023; A20). Der Beschwerde ist diesbezüglich nichts Neues zu entnehmen; insbesondere wurde bis heute kein Arztbericht eingereicht. Es ist daher nicht von einem erheblichen Leidensdruck auszugehen. Das SEM hat sodann zutreffend und in Übereinstimmung mit der Rechtsprechung des Bundesverwaltungsgerichts (vgl. dazu beispielsweise die Urteile F-23/2023 vom 10. Januar 2023 E. 7.4.2 und D-6046/2022 vom 10. Januar 2023 E. 10.2.1.2) festgestellt, dass in Kroatien eine ausreichende medizinische Infrastruktur besteht, Kroatien aufgrund von Art. 19 Abs. 1 der Aufnahmerichtlinie verpflichtet ist, dem Beschwerdeführer eine allenfalls erforderliche medizinische Behandlung zu gewähren und keine Hinweise dafür vorliegen, dass es dieser Verpflichtung nicht nachkommen würde.</w:t>
      </w:r>
    </w:p>
    <w:p>
      <w:r>
        <w:rPr>
          <w:b/>
        </w:rPr>
        <w:t>E. 7.3.3</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7.4</w:t>
      </w:r>
    </w:p>
    <w:p>
      <w:r>
        <w:t>Nach dem Gesagten bleibt Kroatien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und der am 12. Januar 2023 angeordnete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