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D-1574/2015 vom 8. Mai 2015</w:t>
      </w:r>
    </w:p>
    <w:p>
      <w:r>
        <w:t>Bundesverwaltungsgericht, 2015-05-08, DE</w:t>
      </w:r>
    </w:p>
    <w:p>
      <w:r>
        <w:rPr>
          <w:b/>
        </w:rPr>
        <w:t xml:space="preserve">Quelle: </w:t>
      </w:r>
      <w:r>
        <w:t>https://mcp.opencaselaw.ch/entscheid/bvger_D-1574_2015</w:t>
      </w:r>
    </w:p>
    <w:p>
      <w:r>
        <w:t>FR: TAF D-1574/2015 du 8 mai 2015</w:t>
      </w:r>
    </w:p>
    <w:p>
      <w:r>
        <w:t>IT: TAF D-1574/2015 del 8 maggio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beziehungsweise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vom 26. Juni 1998 [AsylG, SR 142.31]; Art. 83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Rückschein bei den Akten nicht fest. Auch ist aus den Akten nicht er­sichtlich, wann die vorinstanzliche Verfügung vom 26. Januar 2015 von der Schweizerischen Vertretung in Colombo versandt wurde. Indessen ergibt sich aus den Akten, dass die auf den 22. Februar 2015 datierte, der sri-lankischen Post am 24. Februar 2015 aufgegebene Be­schwerdeeingabe am 2. März 2015 bei der Schweizerischen Vertretung eintraf. Mangels Rückschein steht somit nicht mit Bestimmtheit fest, ob die eingereichte Be­schwer­de rechtzeitig erfolgt ist. Da die Beweislast für die Zustellung an die Partei der eröffnenden Behörde obliegt (vgl. Moser/Beusch/Kneubühler, Prozessieren vor dem Bundesver­wal­tungsgericht, Basel 2008, Rz. 3.150, S. 166 f.), ist nach dem Gesagten zugunsten der Beschwerdeführenden davon auszugehen, dass die am 2. März 2015 bei der Schweizerischen Vertretung eingetroffene Beschwerde rechtzeitig erfolgt ist..</w:t>
      </w:r>
    </w:p>
    <w:p>
      <w:r>
        <w:rPr>
          <w:b/>
        </w:rPr>
        <w:t>E. 1.5</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mit Ausnahme des genannten, jedoch als nicht wesentlich erachteten Mangels - formgerecht eingereichte Beschwerde ist einzutreten (Art. 108 AsylG sowie Art. 105 AsylG i.V.m. Art.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oder ihr die Aufnahme in einem Drittstaat zugemutet werden kann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den nachstehenden Gründen ist die Einschätzung des BFM in der angefochtenen Verfügung, wonach sich aus den wesentlichen Vorbringen des Beschwerdeführers, wegen der Weiterleitung einer Liste mit gewaltsamen Vorfällen an internationale Organisationen wie seine Ehefrau von Unbekannten behelligt zu werden, keine asylrelevante Gefährdungssituation der Beschwerdeführenden ergebe, zu bestätigen.</w:t>
      </w:r>
    </w:p>
    <w:p>
      <w:r>
        <w:rPr>
          <w:b/>
        </w:rPr>
        <w:t>E. 5.4</w:t>
      </w:r>
    </w:p>
    <w:p>
      <w:r>
        <w:t>Vorab ist festzuhalten, dass das Bundesverwaltungsgericht bereits in seinem Urteil vom 14. Mai 2009 die angeblich über Jahre andauernde akute und lebensbedrohliche Verfolgung des Beschwerdeführers durch die LTTE und die geltend gemachte Bedrohung durch die TMVP in Zweifel zog und eine relevante und aktuelle Gefährdung des Beschwerdeführers zum damaligen Zeitpunkt verneinte. In der angefochtenen Verfügung hat das BFM denn auch Zweifel an den aktuellen Vorbringen der Beschwerdeführenden angeführt. So hat es zutreffend auf Widersprüche in ihren Aussagen hingewiesen, auf die in der Beschwerde nicht näher eingegangen wird. Im Weiteren erscheint es, wie von der Vorinstanz zutreffend ausgeführt, angesichts des fehlenden politischen Profils des Beschwerdeführers als realitätsfremd, dass dieser auch Jahre nach der angeblichen Weiterleitung von Informationen deswegen Behelligungen ausgesetzt sein sollte. Auch ist davon auszugehen, dass es den Unbekannten bei tatsächlich vorhandenem Verfolgungsinteresse gelungen wäre, den Aufenthaltsort des Beschwerdeführers zu erfahren, lebt doch die Familie nach eigenen Angaben seit Jahren an derselben Adresse und soll die Ehefrau des Beschwerdeführers diesen regelmässig in einem Dorf besuchen, in dem die dortige Bevölkerung den Aufenthaltsort des Beschwerdeführers kenne (vgl. BFM-Protokoll C50 S. 6). Schliesslich ist mit der Vorinstanz festzuhalten, dass die Schilderung der Vorkommnisse nach 2011 stereotyp und unbestimmt ausgefallen ist und aus diesen Gründen davon auszugehen ist, dass die Beschwerdeführenden ihre Situation übersteigert dargestellt haben. Im Weiteren ist unabhängig von der Frage der Glaubhaftigkeit hinsichtlich der geltend gemachten Behelligungen durch Unbekannte darauf hinzuweisen, dass von der Schutzfähigkeit des sri-lankischen Staates auszugehen ist, weshalb grundsätzlich die Möglichkeit besteht, bei den zuständigen Behörden um Schutz vor Verfolgung seitens Dritter zu ersuchen. Vorliegend ergeben sich entgegen der blossen Behauptung der Beschwerdeführenden, die Polizei habe sich geweigert, Anzeigen oder Beschwerden entgegen zu nehmen, keine konkreten Anhaltspunkte auf eine Schutzunwilligkeit des sri-lankischen Staates. An der Einschätzung der fehlenden Verfolgung beziehungsweise der fehlenden begründeten Furcht vor künftiger Verfolgung vermögen weder die Argumente in der Beschwerde, die sich in einer Wiederholung der bereits im Rahmen des vorinstanzlichen Verfahrens geltend gemachten Vorbringen erschöpfen, noch die im vor­instanzlichen Verfahren eingereichten Dokumente nichts zu ändern. 6.Somit ist es den Beschwerdeführenden nicht gelungen, eine aktuelle Gefährdung im Sinne von Art. 3 AsylG aufzuzeigen, welche die Bewilligung der Ein­reise in die Schweiz rechtfertigen würde. Die Schutzbedürftigkeit der Beschwerdeführenden im Sinne von alt Art. 20 i.V.m. Art. 3 AsylG ist nicht gegeben. Im Übrigen ist auch eine Beziehungsnähe der Beschwerdeführenden zur Schweiz zu verneinen (alt Art. 52 Abs. 2 AsylG). Die Vorinstanz hat den Beschwerdeführenden zu Recht die Einreise in die Schweiz verweigert und deren Asylgesuche abgelehnt. 7.Aus diesen Erwägungen ergibt sich, dass die angefochtene Verfügung das Bundesrecht nicht verletzt und den rechtserheblichen Sachverhalt richtig sowie vollständig feststellt (Art. 106 Abs. 1 AsylG). Die Beschwerde ist daher abzuweisen. 8.Bei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