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D-1573/2020 vom 12. Mai 2020</w:t>
      </w:r>
    </w:p>
    <w:p>
      <w:r>
        <w:t>Bundesverwaltungsgericht, 2020-05-12, FR</w:t>
      </w:r>
    </w:p>
    <w:p>
      <w:r>
        <w:rPr>
          <w:b/>
        </w:rPr>
        <w:t xml:space="preserve">Quelle: </w:t>
      </w:r>
      <w:r>
        <w:t>https://mcp.opencaselaw.ch/entscheid/bvger_D-1573_2020</w:t>
      </w:r>
    </w:p>
    <w:p>
      <w:r>
        <w:t>FR: TAF D-1573/2020 du 12 mai 2020</w:t>
      </w:r>
    </w:p>
    <w:p>
      <w:r>
        <w:t>IT: TAF D-1573/2020 del 12 maggio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L'intéressée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l'intéressée n'a pas rendu vraisemblable l'existence de recherches étatiques antérieures à son départ de la Côte d'Ivoire, ni une crainte fondée de persécution en cas de retour.</w:t>
      </w:r>
    </w:p>
    <w:p>
      <w:r>
        <w:rPr>
          <w:b/>
        </w:rPr>
        <w:t>E. 3.1.1</w:t>
      </w:r>
    </w:p>
    <w:p>
      <w:r>
        <w:t>En effet, en Côte d'Ivoire, elle n'a pas eu un profil politique susceptible de représenter un danger ou une menace pour les autorités. D'abord, jusqu'à la manifestation de juillet 2013, elle n'a connu aucun problème avec celles-ci, bien que son époux coutumier ait été détenu depuis avril 2011, à cause de ses fonctions pour l'ancien président. Son appartenance au groupe « JFPI » depuis 2012 ne l'a donc nullement placée dans le collimateur des autorités ivoiriennes. Elle n'était du reste pas réellement engagée dans cette association peu stable pour laquelle elle n'avait pris part qu'à une seule réunion (cf. procès-verbal d'audition [pv.] du 10 juillet 2018, réponses aux questions 241 ss. p. 26 s.).</w:t>
      </w:r>
    </w:p>
    <w:p>
      <w:r>
        <w:rPr>
          <w:b/>
        </w:rPr>
        <w:t>E. 3.1.2</w:t>
      </w:r>
    </w:p>
    <w:p>
      <w:r>
        <w:t>De plus, ses déclarations au sujet des recherches qui auraient eu lieu après la manifestation de juillet 2013 sont imprécises et peu crédibles. Ainsi, les participantes auraient été arrêtées tantôt le lendemain de l'événement, tantôt le même jour (cf. pv du 16 février 2016, pt. 7.02, p.8 et pv. du 10 juillet 2018, réponses aux questions 117 et 168 à 176, p. 12 et 18 s.). Elle aurait appris qu'elle figurait sur une liste de personnes recherchées le jour-même de la manifestation (cf. pv. du 10 juillet 2018, réponse à la question 117, p. 12) ou, au contraire, au mois d'août 2013 (cf. pv. du 16 février 2016, pt. 7.02 p. 8). Enfin, le lendemain de la marche, la recourante se serait cachée chez un ami à B._______ et selon les versions, aurait encore séjourné tantôt à C._______ avant sa fuite au Burkina Faso (cf. pv. du 16 février 2016, pt. 2.01, p. 9), tantôt à D._______ chez un oncle (cf. pv. du 10 juillet 2018, réponses aux questions 43, 50 à 54 p 5 s.). L'affirmation selon laquelle ces imprécisions et contradictions seraient dues à son état de santé ne trouve aucune assise dans le dossier et, en particulier pas dans les documents médicaux produits. A relever enfin que, par sa signature apposée sur les procès-verbaux de ses auditions, elle a confirmé leur exactitude.</w:t>
      </w:r>
    </w:p>
    <w:p>
      <w:r>
        <w:rPr>
          <w:b/>
        </w:rPr>
        <w:t>E. 3.1.3</w:t>
      </w:r>
    </w:p>
    <w:p>
      <w:r>
        <w:t>Cela étant, le Tribunal cherche en vain les raisons pour lesquelles elle serait recherchée par les autorités en raison de sa participation à une manifestation qu'elles avaient elles-mêmes autorisé (cf. pv. du 10 juillet 2018, réponse à la question 162, p. 17). Aucun commencement de preuve ne soutient son affirmation selon laquelle elle figurerait sur une liste de personnes recherchées. Si tel avait été le cas, elle n'aurait assurément pas été se cacher durant deux mois au domicile de son oncle à D._______, ville où séjournent également sa mère et ses deux enfants, au risque de s'y faire arrêter. En tout état de cause, elle n'aurait pas entrepris des démarches auprès de l'Ambassade de la Côte d'Ivoire en Suisse en vue d'obtenir un document d'identité si elle avait réellement été menacée de persécution en cas de retour (cf. pv. du 10 juillet 2018, réponses aux questions 7 à 14, p. 2 s.).</w:t>
      </w:r>
    </w:p>
    <w:p>
      <w:r>
        <w:rPr>
          <w:b/>
        </w:rPr>
        <w:t>E. 3.1.4</w:t>
      </w:r>
    </w:p>
    <w:p>
      <w:r>
        <w:t>Enfin, l'argument avancé au stade du recours, selon lequel sa mère l'aurait informée qu'elle était recherchée en raison de l'appartenance de son époux à une armée dite invisible, n'est pas crédible et paraît avoir été amené pour les seuls besoins de la cause. En effet, si sa mère subissait réellement des menaces pour cette raison et savait qu'une procédure judiciaire était engagée contre sa fille depuis la mi-août 2019, elle n'aurait pas attendu huit mois pour en informer la recourante, qui, de son côté, n'explique nullement les raisons pour lesquelles une telle information est apparue si tardivement. Il n'est pas plus crédible que les autorités ivoiriennes découvrent après cinq ans seulement une prétendue appartenance de son époux coutumier à une armée dite invisible, celui-ci ayant quitté le pays en 2014.</w:t>
      </w:r>
    </w:p>
    <w:p>
      <w:r>
        <w:rPr>
          <w:b/>
        </w:rPr>
        <w:t>E. 3.2</w:t>
      </w:r>
    </w:p>
    <w:p>
      <w:r>
        <w:t>Au vu de ce qui précède, les éléments qui plaident en faveur de la crédibilité du récit paraissent nettement moins nombreux que ceux qui militent en sens contraire de sorte que la recourante n'a pas rendu vraisemblables ses motifs de fuite ni une crainte fondée de persécution en cas de retour dans son pays. Dès lors, le recours, sous l'angle de la reconnaissance de la qualité de réfugié et de l'octroi de l'asile, doit être rejeté.</w:t>
      </w:r>
    </w:p>
    <w:p>
      <w:r>
        <w:rPr>
          <w:b/>
        </w:rPr>
        <w:t>E. 4.1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(cf. ATAF 2012/31 consid. 6.2, ATAF 2009/50 consid. 9).</w:t>
      </w:r>
    </w:p>
    <w:p>
      <w:r>
        <w:rPr>
          <w:b/>
        </w:rPr>
        <w:t>E. 5.1</w:t>
      </w:r>
    </w:p>
    <w:p>
      <w:r>
        <w:t>L'exécution du renvoi est ordonnée si elle est licite, possible et peut raisonnablement être exigée. Si ces conditions ne sont pas réunies, l'admission provisoire doit être prononcée (art. 83 al. 1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l'intéressée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6.3.2</w:t>
      </w:r>
    </w:p>
    <w:p>
      <w:r>
        <w:t>Pour les motifs déjà exposés, la recourante n'a pas rendu hautement probable qu'elle serait personnellement visée, en cas de retour dans son pays d'origine, par des mesures incompatibles avec l'art. 3 CEDH ou d'autres dispositions contraignantes de droit international.</w:t>
      </w:r>
    </w:p>
    <w:p>
      <w:r>
        <w:rPr>
          <w:b/>
        </w:rPr>
        <w:t>E. 6.4</w:t>
      </w:r>
    </w:p>
    <w:p>
      <w:r>
        <w:t>Ainsi, l'exécution du renvoi de la recourante, sous forme de refoulement, ne transgresse aucun engagement de la Suisse relevant du droit international, de sorte qu'elle s'avère licite (art. 44 LAsi et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7.2</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7.3</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(ATAF 2011/50 consid. 8.3 ; voir, également, ATAF 2014/26 consid. 7.3 à 7.10).</w:t>
      </w:r>
    </w:p>
    <w:p>
      <w:r>
        <w:rPr>
          <w:b/>
        </w:rPr>
        <w:t>E. 8.1</w:t>
      </w:r>
    </w:p>
    <w:p>
      <w:r>
        <w:t>En l'occurrence, la Côte d'Ivoire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8.2</w:t>
      </w:r>
    </w:p>
    <w:p>
      <w:r>
        <w:t>Par ailleurs, il ne ressort du dossier aucun élément dont on pourrait inférer que l'exécution du renvoi impliquerait une mise en danger concrète de la recourante. En effet, dans son pays d'origine, elle dispose d'un important réseau familial, notamment sa mère et ses deux enfants, avec lesquels elle a gardé contact (cf. pv. du 10 juillet 2018, réponse à la question 107, p. 11), et est au bénéfice d'une expérience professionnelle en tant que commerçante et tenancière d'une boutique, activité exercée de manière indépendante, soit autant de facteurs susceptibles de lui faciliter sa réintégration.</w:t>
      </w:r>
    </w:p>
    <w:p>
      <w:r>
        <w:rPr>
          <w:b/>
        </w:rPr>
        <w:t>E. 8.3</w:t>
      </w:r>
    </w:p>
    <w:p>
      <w:r>
        <w:t>Certes, la recourante présente un trouble de stress post-traumatique, accompagné d'un trouble dépressif récurrent. Bien qu'un traitement psychiatrique et psychothérapeutique lui ait été recommandé, elle ne suit plus aucun traitement médical. En effet, après avoir bénéficié d'un accompagnement à intervalles rapprochés, elle n'en a fait usage que dans les cas d'urgence pour, finalement, arrêter le traitement en décembre 2018 (cf. rapport médical du 31 janvier 2020). Cela étant, à son retour en Côte d'Ivoire, elle pourra entreprendre les démarches auprès de la caisse nationale en vue de bénéficier d'une couverture maladie universelle et avoir accès aux soins que requiert son état de santé, même si ceux-ci ne devaient pas être de la même qualité qu'en Suisse. S'agissant des problèmes liés à l'hépatite, ils n'ont jamais été attestés par un document médical et reposent uniquement sur ses propres allégations de sorte qu'ils ne sont nullement établis. Cela étant, la recourante n'a pas démontré qu'elle présentait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en Côte d'Ivoire. En cas de besoin, il lui revient de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En outre, les autorités chargées de l'exécution du renvoi de l'intéressée devront prévoir un accompagnement par une personne dotée de compétences médicales ou par toute autre personne susceptible de lui apporter un soutien adéquat, s'il résultait d'un examen médical avant le départ qu'un tel accompagnement était nécessaire. Enfin, elle pourra, le cas échéant, constituer une réserve de médicaments, avant son départ de Suisse et, au besoin, présenter au SEM, après la clôture de la présente procédure, une demande d'aide au retour au sens de l'art. 93 LAsi (cf. décision entreprise, p. 7).</w:t>
      </w:r>
    </w:p>
    <w:p>
      <w:r>
        <w:rPr>
          <w:b/>
        </w:rPr>
        <w:t>E. 8.4</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8.5</w:t>
      </w:r>
    </w:p>
    <w:p>
      <w:r>
        <w:t>Pour ces motifs, l'exécution du renvoi doit être considérée comme raisonnablement exigible.</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S'avérant manifestement infondé, il est rejeté dans une procédure à juge unique, avec l'approbation d'un second juge.</w:t>
      </w:r>
    </w:p>
    <w:p>
      <w:r>
        <w:rPr>
          <w:b/>
        </w:rPr>
        <w:t>E. 12</w:t>
      </w:r>
    </w:p>
    <w:p>
      <w:r>
        <w:t>Vu l'issue de la cause, il y a lieu de mettre les frais de procédure à la charge de la recourante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