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D-1573/2009 vom 23. März 2011</w:t>
      </w:r>
    </w:p>
    <w:p>
      <w:r>
        <w:t>Bundesverwaltungsgericht, 2011-03-23, DE</w:t>
      </w:r>
    </w:p>
    <w:p>
      <w:r>
        <w:rPr>
          <w:b/>
        </w:rPr>
        <w:t xml:space="preserve">Quelle: </w:t>
      </w:r>
      <w:r>
        <w:t>https://mcp.opencaselaw.ch/entscheid/bvger_D-1573_2009</w:t>
      </w:r>
    </w:p>
    <w:p>
      <w:r>
        <w:t>FR: TAF D-1573/2009 du 23 mars 2011</w:t>
      </w:r>
    </w:p>
    <w:p>
      <w:r>
        <w:t>IT: TAF D-1573/2009 del 23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teilt die Auffassung des BFM, wonach die Vorbringen des Beschwerdeführers, er werde von der Polizei im Zusammenhang mit dem von ihm verursachten Unfall gesucht und von den Söhnen des Unfallopfers behelligt, den Anforderungen an die Flüchtlingseigenschaft gemäss Art. 3 AsylG nicht genügen. Die zutreffenden Erwägungen in der angefochtenen Verfügung können die anderslautenden Ausführungen in der Beschwerdeschrift nicht umstossen, zumal er im Rahmen des erstinstanzlichen Verfahrens nicht geltend machte, sich bei den Polizeibehörden vergeblich um Schutz vor den Behelligungen durch die Angehörigen des Unfallopfers bemüht zu haben. Zur Vermeidung von Wiederholungen wird somit an dieser Stelle auf die zutreffenden Ausführungen in der angefochtenen Verfügung vom 12. Februar 2009 verwiesen, denen sich das Bundesverwaltungsgericht vollumfänglich anschliesst.</w:t>
      </w:r>
    </w:p>
    <w:p>
      <w:r>
        <w:rPr>
          <w:b/>
        </w:rPr>
        <w:t>E. 5.2</w:t>
      </w:r>
    </w:p>
    <w:p>
      <w:r>
        <w:t>Bei dieser Sachlage erübrigt es sich, auf die weiteren Ausführungen in der Beschwerde im Einzelnen einzugehen, da diese nicht geeignet sind, zu einer anderen rechtlichen Würdigung der Aktenlage zu führen. Unter diesen Umständen ist somit festzuhalten,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Guinea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Nach dem Tod des Staatspräsidenten Lansana Conté hat am 23. Dezember 2008 eine Militärjunta unter Führung von Hauptmann Moussa Dadis Camara die Macht in Guinea übernommen. Die Junta erklärte die Verfassung, die Gerichte und das Parlament für abgesetzt. Sie teilte mit, dass ein Nationaler Rat für Demokratie die Verwaltung des Landes vorübergehend übernehmen werde. Am 30. Dezember 2008 liess die Junta über den staatlichen Rundfunk verlauten, sie habe den in Ägypten lebenden Bankmanager Kabiné Komara zum neuen Ministerpräsidenten ernannt. Am 7. November 2010 fand der zweite Wahlgang der ersten freien Wahlen seit der Unabhängigkeit Guineas im Jahr 1958 statt und verlief hauptsächlich ruhig. Der gewählte Präsident Professor Alpha Condé trat am 22. Dezember 2010 sein Amt an. Seitdem haben sich die politischen Spannungen weitgehend gelegt. Im laufenden Jahr sollen ausserdem die Neuwahlen des Parlaments stattfinden, welches seit dem Militärputsch vom 23. Dezember 2008 suspendiert ist. Das Eidgenössische Departement für auswärtige Angelegenheiten (EDA) hat denn auch keine Reisewarnung für Guinea ausgesprochen, sondern lediglich Reisehinweise gegeben (beispielsweise Vorsichtsmassnahmen im Zusammenhang mit der in Guinea herrschenden hohen Kriminalitätsrate und Unfallrisiken auf nächtlichen Überlandfahrten) und von Reisen in die Grenzgebiete zu Côte d'Ivoire, Liberia und Sierra Leone abgeraten (vgl. www.eda.admin.ch/eda/de/home/travad/hidden/hidde2/guinea.html abgerufen am 21. März 2011). Das Auswärtige Amt der Bundesrepublik Deutschland hat demgegenüber sowohl auf Reise- als auch auf Teilreisehinweise für Guinea verzichtet (vgl. www.auswaertiges-amt.de/sid_BB4123564D8D684170CC126186B15520/DE/ abgerufen am 21. März 2011).</w:t>
      </w:r>
    </w:p>
    <w:p>
      <w:r>
        <w:rPr>
          <w:b/>
        </w:rPr>
        <w:t>E. 7.6</w:t>
      </w:r>
    </w:p>
    <w:p>
      <w:r>
        <w:t>Der Beschwerdeführer ist mittlerweile volljährig, so dass die Erwägungen in der angefochtenen Verfügung bezüglich seiner Minderjährigkeit an dieser Stelle keiner weiteren Erörterungen mehr bedürfen. Im vorliegenden Fall ist zudem zu beachten, dass er bereits vor seiner Ausreise mehrere Jahre bei seinem Onkel gelebt haben will, obwohl seinen Aussagen zufolge, seine Eltern und Geschwister in der Nähe gelebt haben sollen (vgl. Akten der Vorinstanz A12/ S. 3 F. 11, S,5 F. 34). Der Beschwerdeführer kann bei seiner Rückkehr somit auf ein grosses soziales Beziehungsnetz zurückgreifen, da sowohl seine Eltern und Geschwister, als auch zahlreiche weitere Verwandte in Guinea leben. Nach dem Gesagten erweist sich der Vollzug der Wegweisung auch als zumutbar, zumal der Beschwerdeführer gemäss den Akten gesund ist.</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 ungeachtet der nachgewiesenen Bedürftigkeit -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