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D-1569/2014 vom 13. Juli 2016</w:t>
      </w:r>
    </w:p>
    <w:p>
      <w:r>
        <w:t>Bundesverwaltungsgericht, 2016-07-13, DE</w:t>
      </w:r>
    </w:p>
    <w:p>
      <w:r>
        <w:rPr>
          <w:b/>
        </w:rPr>
        <w:t xml:space="preserve">Quelle: </w:t>
      </w:r>
      <w:r>
        <w:t>https://mcp.opencaselaw.ch/entscheid/bvger_D-1569_2014</w:t>
      </w:r>
    </w:p>
    <w:p>
      <w:r>
        <w:t>FR: TAF D-1569/2014 du 13 juillet 2016</w:t>
      </w:r>
    </w:p>
    <w:p>
      <w:r>
        <w:t>IT: TAF D-1569/2014 del 13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Gericht gelangt nach Prüfung der Akten - wie die Vor­in­stanz - zum Schluss, dass die Vorbringen des Beschwerdeführers zu seinen Fluchtgründen den Anforderungen an die Glaubhaftigkeit gemäss Art. 7 AsylG nicht standzuhalten vermögen. Bereits der Umstand, dass der Beschwerdeführer - wie in der angefochtenen Verfügung festgehalten - nicht wuss­te, ob er vom Offizier für die Regierung oder eine andere Organisation hätte angeworben werden sollen (vgl. Akten SEM A 25 F36), lässt erste Zweifel am Wahrheitsgehalt seiner Schilderung aufkommen. Es ist zwar vorstellbar, dass - wie in der Beschwerdeschrift vorgebracht - über einen geheimen, länderübergreifenden Einsatz von Kämpfern so wenig wie möglich und einfachen Kämpfern nicht jedes Detail über die Befehlsstruktur bekannt gegeben wird. Dass jedoch Kämpfer für eine ihnen gegenüber nicht genannte Organisation angeworben werden sollten, für die sie bei ihrer Zusage letztlich ihr Leben riskieren, erscheint unwahrscheinlich. In diesem Zusammenhang ist auch darauf hinzuweisen, dass der Beschwerdeführer nicht substanziiert und nachvollziehbar erklären konnte, weshalb er sich zur Zusammenarbeit mit dem Offizier entschlossen haben soll. Seinen Aussagen ist lediglich zu entnehmen, dass ihm - für den Fall der Verweigerung der Zusammenarbeit - die Fortführung seines Militärdienstes angedroht wurde (vgl. A 1 S. 9 und Beschwerdeschrift S. 4) und er das Angebot akzeptierte, weil er vom Offizier "gequält" wurde (d.h. er musste als Wächter vor dem Eingang stehen und viele Aufgaben erledigen [vgl. A 25 F41]), er seinen Wehrdienst beenden und vom Offizier in Ruhe gelassen werden wollte (vgl. A 25 F30 und 50). Somit hat er sich seinen Ausführungen zufolge gegen nicht näher definierte Probleme respektive eine Fortführung seines Militärdienstes und für den von ihm selbst als gefährlich bezeichneten Einsatz im Irak entschieden (vgl. A 25 F57). Diese Entscheidung ist objektiv nicht nachvollziehbar.</w:t>
      </w:r>
    </w:p>
    <w:p>
      <w:r>
        <w:rPr>
          <w:b/>
        </w:rPr>
        <w:t>E. 4.2</w:t>
      </w:r>
    </w:p>
    <w:p>
      <w:r>
        <w:t>Die Aussagen des Beschwerdeführers weisen sodann diverse Unstimmigkeiten und Widersprüche auf, welche die bestehenden Zweifel am Wahrheitsgehalt seiner Vorbringen bestärken. So versteckte er sich gemäss seinen Angaben an der BzP, nachdem er die SIM-Karte zerstörte, die er von den Behörden beziehungsweise vom Offizier im Zusammenhang mit dem vorgesehenen Arbeitseinsatz im Irak erhielt; erst später soll er die gerichtliche Vorladung erhalten haben (vgl. A 1 S. 9 f.; vgl. auch Beschwerdeschrift S. 4). An der Anhörung erwähnte er dagegen die SIM-Karte mit keinem Wort und erklärte, er sei (erst) nach Erhalt der gerichtlichen Vorladung "abgehauen" (vgl. A 25 F30 und 68). Des Weiteren ist festzustellen, dass der Beschwerdeführer an der BzP und an der Anhörung zwar mehrere Daten zu entscheidenden Vorfällen - zumindest den Tag und den Monat betreffend - übereinstimmend nannte. Allerdings hat er sich beispielsweise - wie bereits in der angefochtenen Verfügung festgehalten - bezüglich des Jahres, in welchem er die gerichtliche Vorladung erhalten haben soll, widersprochen. So gab er an der BzP an, seine Angehörigen hätten diese am 2. Februar 2009 erhalten (vgl. A 1 S. 10). An der Anhörung datierte er den Erhalt der Vorladung dagegen wiederholt auf den 2. (resp. 5.) Februar 2008 (vgl. A 25 F16 f., 63 und 155). Dem diesbezüglichen Beschwerdevorbringen, es sei für ihn nicht einfach, etliche Ereignisse, die in den letzten fünf Jahren vorgefallen seien, aus dem Stegreif zuverlässig zu datieren, ist entgegenzuhalten, dass es sich beim Erhalt einer gerichtlichen Vorladung nicht um ein alltägliches Ereignis handelt. Im Übrigen erstaunt, dass in der Beschwerdeschrift nicht klargestellt wird, in welchem Jahr der Beschwerdeführer die gerichtliche Vorladung nun tatsächlich erhalten haben soll (vgl. Beschwerdeschrift S. 4 und 6). An dieser Stelle ist als weiteres Argument für die Unglaubhaftigkeit der Vorbringen des Beschwerdeführers anzuführen, dass er - abgesehen vom Vorladungstermin - keine detaillierten Angaben zur gerichtlichen Vorladung machen konnte (vgl. A 25 F12, 14 f., 66 f.), was aber angesichts der Bedeutung eines solchen Schreibens zu erwarten gewesen wäre.</w:t>
      </w:r>
    </w:p>
    <w:p>
      <w:r>
        <w:rPr>
          <w:b/>
        </w:rPr>
        <w:t>E. 4.3</w:t>
      </w:r>
    </w:p>
    <w:p>
      <w:r>
        <w:t>Hervorzuheben ist sodann, dass der Beschwerdeführer nicht in der Lage war, die Namen aller fünf Personen zu nennen, mit denen er von Syrien aus direkt in den Irak hätte eingeschleust werden sollen und mit denen er mehrere Tage in Aleppo verbrachte. Er versuchte sein Unvermögen damit zu erklären, dass er nicht mit diesen Leuten gesprochen habe, weil sein Arabisch nicht gut genug sei, um an einer Konversation teilzunehmen (vgl. A 25 F126 ff.). Allerdings wurde ein Teil der BzP auf Arabisch durchgeführt, was im Protokoll - mit dem Hinweis, der Beschwerdeführer spreche problemlos Arabisch - entsprechend vermerkt wurde (vgl. A 1 S. 2). Damit ist auch der Einwand des Beschwerdeführers an der Anhörung, "das" sei auf Kurdisch gewesen (vgl. A 25 F131), protokollwidrig.</w:t>
      </w:r>
    </w:p>
    <w:p>
      <w:r>
        <w:rPr>
          <w:b/>
        </w:rPr>
        <w:t>E. 4.4</w:t>
      </w:r>
    </w:p>
    <w:p>
      <w:r>
        <w:t>Zusammenfassend - und ohne auf weitere Unglaubhaftigkeitselemen­te einzugehen - ist festzustellen, dass die Vorinstanz die Ausreisegründe des Beschwerdeführers (im Ergebnis) zu Recht als unglaubhaft erachtet hat. Die übrigen Beschwerdevorbringen, insbesondere die Ausführungen zum Beweiswert von Auskünften der Botschaft in Syrien, sind nicht geeignet, eine Änderung dieser Einschätzung zu bewirken, weshalb es sich erübrigt, weiter darauf einzugehen.</w:t>
      </w:r>
    </w:p>
    <w:p>
      <w:r>
        <w:rPr>
          <w:b/>
        </w:rPr>
        <w:t>E. 5.1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 3.5 m.w.H.).</w:t>
      </w:r>
    </w:p>
    <w:p>
      <w:r>
        <w:rPr>
          <w:b/>
        </w:rPr>
        <w:t>E. 5.2.1</w:t>
      </w:r>
    </w:p>
    <w:p>
      <w:r>
        <w:t>In der Beschwerde wird vorgebracht, der Beschwerdeführer würde bei einer Rückkehr nach Syrien aufgrund seines Alters, des bereits absolvierten Militärdienstes und des besonderen Kampftrainings mit erheblicher Wahrscheinlichkeit wieder in die syrische Armee eingezogen. Gerade im Moment sei die Gefahr von Zwangsrekrutierungen besonders gross, zumal die syrische Armee ihre Position wieder habe stärken können und dieses für sie positive Kräfteverhältnis sichern möchte. Falls sich der Beschwerdeführer einer erneuten Einberufung widersetze, müsste er mit einer Freiheitsstrafe sowie Folter im Gefängnis rechnen. Er habe somit begründete Furcht vor zukünftiger Verfolgung, welche aufgrund der veränderten Lage in seinem Heimatstaat nach seiner Ausreise entstanden sei und somit einen objektiven Nachfluchtgrund darstelle.</w:t>
      </w:r>
    </w:p>
    <w:p>
      <w:r>
        <w:rPr>
          <w:b/>
        </w:rPr>
        <w:t>E. 5.2.2</w:t>
      </w:r>
    </w:p>
    <w:p>
      <w:r>
        <w:t>Sofern mit dem "besonderen Kampftraining" das dreimonatige Training im Zusammenhang mit dem angeblich vorgesehenen Einsatz des Beschwerdeführers im Irak gemeint ist, ist aufgrund der obigen Erwägungen unglaubhaft, dass ein solches stattgefunden hat. Sodann ist festzuhalten, dass zum heutigen Zeitpunkt bereits deshalb keine objektiv begründete Furcht vor asylrelevanter Verfolgung wegen (zukünftiger) Wehrdienstverweigerung vorliegt, weil nicht mit genügender Sicherheit feststeht, ob der Beschwerdeführer bei einer (aufgrund seiner vorläufigen Aufnahme in der Schweiz freiwilligen) Rückkehr nach Syrien tatsächlich in den Reservedienst der syrischen Armee eingezogen würde. Weitere Ausführungen dazu erübrigen sich deshalb.</w:t>
      </w:r>
    </w:p>
    <w:p>
      <w:r>
        <w:rPr>
          <w:b/>
        </w:rPr>
        <w:t>E. 5.3</w:t>
      </w:r>
    </w:p>
    <w:p>
      <w:r>
        <w:t>Bezüglich des Vorbringens des Beschwerdeführers, er habe während seines Aufenthalts in der Schweiz auch an mehreren Demonstrationen gegen die syrische Regierung teilgenommen (vgl. A 25 F7), ist schliesslich Folgendes festzuhalten: Das Bundesverwaltungsgericht geht nach wie vor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(vgl. dazu das Referenzurteil des BVGer D-3839/2013 vom 28. Oktober 2015 E. 6.3.6). Das Bundesverwaltungsgericht teilt die Einschätzung der Vor­­instanz, wonach der Beschwerdeführer kein entsprechendes Profil aufweise. Den diesbezüglichen Erwägungen des SEM wur­de in der Beschwerdeschrift denn auch nichts entgegengehalten, so dass sich weitere Ausführungen dazu erübrigen.</w:t>
      </w:r>
    </w:p>
    <w:p>
      <w:r>
        <w:rPr>
          <w:b/>
        </w:rPr>
        <w:t>E. 6</w:t>
      </w:r>
    </w:p>
    <w:p>
      <w:r>
        <w:t>Somit ergibt sich, dass insgesamt keine asylrechtlich relevanten Verfolgungsgründe ersichtlich sind, weshalb die Vorinstanz zu Recht die Flüchtlingseigenschaft des Beschwerdeführers verneint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der Beschwerdeführer mit der angefochtenen Verfügung wegen Unzumutbarkeit des Wegweisungsvollzugs in der Schweiz vorläufig aufgenommen wurde, erübrigen sich praxisgemäss Ausführungen zur Zulässigkeit und Möglichkeit des Wegweisungsvollzugs. Es bleibt anzumerken, dass sich aus den vorstehenden Erwägungen nicht der Schluss ergibt, der Beschwerdeführer sei zum heutigen Zeitpunkt angesichts der Entwicklungen in seinem Heimatland nicht gefährdet. Indessen ist eine solche Gefährdungslage im Falle des Beschwerdeführers ausschliesslich auf die in Syrien herrschende Bürgerkriegssituation zurückzuführen, welche durch die Vorinstanz gestützt auf Art. 83 Abs. 4 AuG (SR 142.20) im Rahmen der Anordnung der vorläufigen Aufnahme wegen Unzumutbarkeit des Wegweisungsvollzugs berücksichtigt wurde.</w:t>
      </w:r>
    </w:p>
    <w:p>
      <w:r>
        <w:rPr>
          <w:b/>
        </w:rPr>
        <w:t>E. 8</w:t>
      </w:r>
    </w:p>
    <w:p>
      <w:r>
        <w:t>Aus diesen Erwägungen ergibt sich, dass die - einzig in den Ziffern 1-3 des Dispositivs - angefochtene Verfügung Bundesrecht nicht verletzt und auch sonst nicht zu beanstanden ist (Art. 106 Abs. 1 AsylG). Die Beschwerde ist abzuweisen.</w:t>
      </w:r>
    </w:p>
    <w:p>
      <w:r>
        <w:rPr>
          <w:b/>
        </w:rPr>
        <w:t>E. 9.1</w:t>
      </w:r>
    </w:p>
    <w:p>
      <w:r>
        <w:t>Bei diesem Ausgang des Verfahrens wären die Kosten grundsätzlich dem Be­schwer­de­führer aufzuerlegen (Art. 63 Abs. 1 VwVG; Art. 1-3 des Reglements vom 21. Februar 2008 über die Kosten und Entschädigungen vor dem Bundesverwaltungsgericht [VGKE, SR 173.320.2]). Da jedoch mit Verfügung vom 31. März 2014 das Gesuch um Gewährung der unentgeltlichen Rechtspflege gutgeheissen wurde, sind keine Verfahrenskosten zu erheben.</w:t>
      </w:r>
    </w:p>
    <w:p>
      <w:r>
        <w:rPr>
          <w:b/>
        </w:rPr>
        <w:t>E. 9.2</w:t>
      </w:r>
    </w:p>
    <w:p>
      <w:r>
        <w:t>Nachdem dem Beschwerdeführer mit Verfügung vom 31. März 2014 der rubrizierte Rechtsvertreter als amtlicher Rechtsbeistand (Art. 110a Abs. 1 Bst. a VwVG) beigeordnet wurde, ist diesem ein angemessenes Honorar auszurichten. Der Rechtsvertreter hat keine Kostennote eingereicht, obwohl er in der Verfügung vom 31. März 2014 mit Nachdruck darauf hingewiesen wurde, dass es Sache des amtlichen Rechtsbeistands sei, das Gericht über den aktuellen Stand seiner Kostennote informiert zu halten. Der Aufwand lässt sich allerdings aufgrund der Akten zuverlässig abschätzen (Art. 14 Abs. 2 VGKE). In Anwendung der massgeblichen Bemessungsfaktoren (vgl. Art. 8-11 VGKE) ist dem amtlichen Rechtsbeistand zu Lasten des Gerichts ein Honorar von Fr. 900.-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