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D-155/2017 vom 2. Juni 2017</w:t>
      </w:r>
    </w:p>
    <w:p>
      <w:r>
        <w:t>Bundesverwaltungsgericht, 2017-06-02, DE</w:t>
      </w:r>
    </w:p>
    <w:p>
      <w:r>
        <w:rPr>
          <w:b/>
        </w:rPr>
        <w:t xml:space="preserve">Quelle: </w:t>
      </w:r>
      <w:r>
        <w:t>https://mcp.opencaselaw.ch/entscheid/bvger_D-155_2017</w:t>
      </w:r>
    </w:p>
    <w:p>
      <w:r>
        <w:t>FR: TAF D-155/2017 du 2 juin 2017</w:t>
      </w:r>
    </w:p>
    <w:p>
      <w:r>
        <w:t>IT: TAF D-155/2017 del 2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Der Prozessgegenstand im vorliegenden Verfahren ist entsprechend der gestellten Beschwerdeanträge auf die Frage beschränkt, ob der Beschwerdeführer aufgrund seiner illegalen Ausreise infolge subjektiver Nachfluchtgründe im Sinne von Art. 54 AsylG die Flüchtlingseigenschaft erfüllt. Demgegenüber sind die Abweisung des Asylgesuchs und die Anordnung der Wegweisung unangefochten in Rechtskraft erwachsen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w:t>
      </w:r>
    </w:p>
    <w:p>
      <w:r>
        <w:t>Der Beschwerdeführer macht geltend, dass die von der Vorinstanz vorgenommene Praxisänderung, wonach die Behandlung von Rückkehrenden durch die eritreischen Behörden hauptsächlich davon abhängig sei, ob die Rückkehr nach Eritrea freiwillig oder unter Zwang erfolgt sei und welchen Nationaldienst-Status der Rückkehrende vor seiner Ausreise aus Eritrea gehabt habe, auf einer dünnen Quellenlage basiere. Soweit damit implizit die Verletzung der Begründungspflicht geltend gemacht wird, kann eine solche nicht festgestellt werden. Die Vorinstanz hat die wesentlichen Überlegungen und die Quellen genannt, die sie ihrem Entscheid zugrunde legt. Der Entscheid konnte denn auch sachgerecht vom Beschwerdeführer angefochten werden. Soweit mit dem Beschwerdevorbringen implizit die Richtigkeit der materiellen Würdigung in Frage gestellt wird, betrifft dies nicht eine allfällige Verletzung der Begründungspflicht, sondern vielmehr die materielle Auseinandersetzung mit der Frage, ob die Vorinstanz im vorliegenden Fall zutreffend das Vorliegen subjektiver Nachfluchtgründe verneint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5.4</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6.1</w:t>
      </w:r>
    </w:p>
    <w:p>
      <w:r>
        <w:t>Das BFM verneinte das Vorliegen der Flüchtlingseigenschaft mit dem Argument, der Beschwerdeführer habe Eritrea als minderjährige Person und somit noch nicht im dienstpflichtigen Alter verlassen, weshalb er weder den Nationaldienst verweigert habe noch aus diesem desertiert sei. Es sei den Akten auch sonst nichts zu entnehmen, weshalb er bei einer Rückkehr nach Eritrea ernsthafte Nachteile zu befürchten habe. Die Anforderungen an die Feststellung der Flüchtlingseigenschaft seien somit nicht erfüllt, die Vorbringen bezüglich der illegalen Ausreise asylrechtlich unbeachtlich.</w:t>
      </w:r>
    </w:p>
    <w:p>
      <w:r>
        <w:rPr>
          <w:b/>
        </w:rPr>
        <w:t>E. 6.2</w:t>
      </w:r>
    </w:p>
    <w:p>
      <w:r>
        <w:t>Dagegen brachte der Beschwerdeführer vor, er sei wegen seiner glaubhaften illegalen Ausreise aus Eritrea bei seiner Rückkehr gefährdet und als Flüchtling anzuerkennen, da anzunehmen sei, dass illegal aus Eritrea ausgereiste Personen vom Regime als Regimegegner erachtet würden und daher bei ihrer Rückkehr begründete Furcht hätten, ernsthaften Nachteilen im Sinne von Art. 3 AsylG ausgesetzt zu sein.</w:t>
      </w:r>
    </w:p>
    <w:p>
      <w:r>
        <w:rPr>
          <w:b/>
        </w:rPr>
        <w:t>E. 7.1</w:t>
      </w:r>
    </w:p>
    <w:p>
      <w:r>
        <w:t>Zur bisherigen Praxis des Bundesverwaltungsgerichts in Bezug auf Eritrea, namentlich auch die Praxis betreffend die illegale Ausreise aus diesem Land, wird auf das vom Richterplenum der Asylabteilungen koordinierte Urteil des Bundesveraltungsgerichts D-7898/2015 vom 30. Januar 2017 E. 4.1 ff. verwiesen (als Referenzurteil publiziert).</w:t>
      </w:r>
    </w:p>
    <w:p>
      <w:r>
        <w:rPr>
          <w:b/>
        </w:rPr>
        <w:t>E. 7.2</w:t>
      </w:r>
    </w:p>
    <w:p>
      <w:r>
        <w:t>Im besagten Urteil wurde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7.3</w:t>
      </w:r>
    </w:p>
    <w:p>
      <w:r>
        <w:t>In Anbetracht der geänderten Rechtsprechung (zur Vornahme einer Praxisänderung siehe auch Urteil des BVGer E-5296/2017 vom 17. Mai 2017 E. 7) kann die Glaubhaftigkeit der illegalen Ausreise des Beschwerdeführers offengelassen werden, da entsprechende zusätzliche Faktoren, die das Profil des Beschwerdeführers schärfen könnten, gestützt auf die konkreten Sachumstände zu verneinen sind. Der Beschwerdeführer hatte eigenen Angaben gemäss vor seiner Ausreise als etwa (...)-Jähriger offensichtlich keinen Behördenkontakt im Hinblick auf einen allfälligen Einzug in den eritreischen Militär- beziehungsweise Nationaldienst. Er kann mithin nicht als Deserteur oder Refraktär gelten. Die Glaubhaftigkeit der Vorbringen unterstellt, hatte er lediglich im Rahmen einer Razzia Behördenkontakt, wurde aber nach Vorzeigen seiner Schulbescheinigung freigelassen. Auch die behaupteten Untersagungen und Verwarnungen durch Soldaten, als er unerlaubterweise als Schüler Handwerkstätigkeiten ausgeführt habe, stellen keine ausreichenden Anknüpfungspunkte dar, um ihn in den Augen des eritreischen Regimes als missliebige Person erscheinen zu lassen. Diese Vorbringen vermögen auch bei unterstellter Glaubhaftigkeit keine Schärfung des Profils des Beschwerdeführers zu begründen, aufgrund welcher er in den Fokus der Militärbehörden geraten sein könnte. Der Beschwerdeführer bringt denn auch nicht vor, dass seine Familie oder er im Nachgang zu den - in der vorinstanzlichen Verfügung mangels genügender Eingriffsschwere und zeitlicher Kausalität als asylrechtlich irrelevant bewerteten - Ereignissen weitere Probleme mit eritreischen Behörden gehabt habe. Die Behauptung, nach seiner Ausreise sei seine Mutter gefangen genommen worden, wurde nicht weiter substanziiert, zumal er dies lediglich von Personen, die nach ihm ausgereist seien, vernommen habe und ihm im direkten telefonischen Kontakt mit seiner Familie nichts davon gesagt worden sei (vgl. act. A22 S. 20 F221 ff.). Auch das blosse Stellen eines Asylgesuchs im Ausland führt zu keiner entscheidrelevanten Schärfung des Risikoprofils (vgl. Urteil des BVGer D-1045/2016 vom 24. Mai 2016 E. 7.4).</w:t>
      </w:r>
    </w:p>
    <w:p>
      <w:r>
        <w:rPr>
          <w:b/>
        </w:rPr>
        <w:t>E. 7.4</w:t>
      </w:r>
    </w:p>
    <w:p>
      <w:r>
        <w:t>Die Vorbringen in der Beschwerde sind nicht geeignet, zu einer anderen Einschätzung zu führen. Somit bleibt festzuhalten, dass allein die vorgebrachte illegale Ausreise vorliegend keine Furcht des Beschwerdeführers vor einer zukünftigen flüchtlingsrechtlich relevanten Verfolgung zu begründen vermag, da in seiner Person keine zusätzlichen Faktoren für ein Risikoprofil zu erkennen sind.</w:t>
      </w:r>
    </w:p>
    <w:p>
      <w:r>
        <w:rPr>
          <w:b/>
        </w:rPr>
        <w:t>E. 7.5</w:t>
      </w:r>
    </w:p>
    <w:p>
      <w:r>
        <w:t>Ebenfalls nicht flüchtlingsrechtlich relevant ist die vom Beschwerdeführer angeführte hypothetische Möglichkeit eines Einzugs in den Militär- beziehungsweise Nationaldienst nach einer allfälligen Rückkehr, da es sich dabei ebenfalls nicht um eine Massnahme handelt, die aus asylrechtlich relevanten Motiven erfolgt. Ob eine drohende Einziehung in den Militär- beziehungsweise Nationaldienst unter dem Aspekt von Art. 3 EMRK oder des Verbots der Sklaverei und der Zwangsarbeit gemäss Art. 4 EMRK relevant sein könnte, betrifft die Frage der Zulässigkeit beziehungsweise Zumutbarkeit des Wegweisungsvollzugs. Da der Beschwerdeführer mit der angefochtenen Verfügung in der Schweiz vorläufig aufgenommen wurde, ist diese Frage nicht Gegenstand des vorliegenden Verfahrens.</w:t>
      </w:r>
    </w:p>
    <w:p>
      <w:r>
        <w:rPr>
          <w:b/>
        </w:rPr>
        <w:t>E. 7.6</w:t>
      </w:r>
    </w:p>
    <w:p>
      <w:r>
        <w:t>Die Vorinstanz hat mithin zutreffend die Flüchtlingseigenschaft des Beschwerdeführers mangels relevanter subjektiver Nachfluchtgründe verneint.</w:t>
      </w:r>
    </w:p>
    <w:p>
      <w:r>
        <w:rPr>
          <w:b/>
        </w:rPr>
        <w:t>E. 8</w:t>
      </w:r>
    </w:p>
    <w:p>
      <w:r>
        <w:t>Der Beschwerdeführer wurde vom SEM mit Entscheid vom 8. Dezember 2016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Bei diesem Ausgang des Verfahrens wären die Verfahrenskosten dem Beschwerdeführer aufzuerlegen (Art. 63 Abs. 1 VwVG). Nachdem das Gesuch um unentgeltliche Rechtspflege im Sinne von Art. 65 Abs. 1 VwVG mit Verfügung 17. Januar 2017 gutgeheissen wurde, sind keine Verfahrenskosten zu erheben.</w:t>
      </w:r>
    </w:p>
    <w:p>
      <w:r>
        <w:rPr>
          <w:b/>
        </w:rPr>
        <w:t>E. 10.2</w:t>
      </w:r>
    </w:p>
    <w:p>
      <w:r>
        <w:t>Vorliegend wurde mit Verfügung vom 10. Februar 2017 auch das Gesuch des Beschwerdeführers um Beiordnung seiner Rechtsvertreterin als amtliche Rechtsbeiständin gestützt auf Art. 110a Abs. 1 AsylG gutgeheissen. Mit gleicher Verfügung wurden der amtlichen Rechtsbeiständin die Honoraransätze mitgeteilt. Es wird nur der notwendige Aufwand entschädigt (vgl. Art. 8 Abs. 2 des Reglements vom 21. Februar 2008 über die Kosten und Entschädigungen vor dem Bundesverwaltungsgericht [VGKE, SR 173.320.2]). Der Aufwand kann vorliegend zuverlässig geschätzt werden, weshalb sich das Nachfordern einer Kostennote erübrigt. Da der Beschwerdeführer die Beschwerdeschrift selbst verfasst hat und die Rechtsvertreterin bis dato als einzige Eingabe ihre Mandatierung dem Gericht bekannt gab, ist das Honorar auf Fr. 150.- (inklusive Spesen)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