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D-1558/2007 vom 24. Dezember 2007</w:t>
      </w:r>
    </w:p>
    <w:p>
      <w:r>
        <w:t>Bundesverwaltungsgericht, 2007-12-24, DE</w:t>
      </w:r>
    </w:p>
    <w:p>
      <w:r>
        <w:rPr>
          <w:b/>
        </w:rPr>
        <w:t xml:space="preserve">Quelle: </w:t>
      </w:r>
      <w:r>
        <w:t>https://mcp.opencaselaw.ch/entscheid/bvger_D-1558_2007</w:t>
      </w:r>
    </w:p>
    <w:p>
      <w:r>
        <w:t>FR: TAF D-1558/2007 du 24 décembre 2007</w:t>
      </w:r>
    </w:p>
    <w:p>
      <w:r>
        <w:t>IT: TAF D-1558/2007 del 24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des Bundesgesetzes vom 20. Dezember 1968 über das Verwaltungsverfahren [VwVG, SR 172.021])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somit einzutreten.</w:t>
      </w:r>
    </w:p>
    <w:p>
      <w:r>
        <w:rPr>
          <w:b/>
        </w:rPr>
        <w:t>E. 3</w:t>
      </w:r>
    </w:p>
    <w:p>
      <w:r>
        <w:t>Mit der Beschwerde vom 28. Februar 2007 wird den Rechtsbegehren zufolge lediglich der Vollzug der Wegweisung (Dispositivziffern 4 und 5 der vorinstanzlichen Verfügung) angefochten. Somit ist die Verfügung des BFM vom 1. Februar 2007, soweit sie die Frage des Asyls und der Flüchtlingseigenschaft betrifft, in Rechtskraft erwachsen. Auch die Wegweisung als solche (Dispositivziffer 3) ist damit grundsätzlich nicht mehr zu überprüfen. Im Folgenden ist daher lediglich zu untersuchen, ob die Vorinstanz den Wegweisungsvollzug zu Recht als durchführbar erachtet hat oder ob allenfalls an Stelle des Vollzugs eine vorläufige Aufnahme anzuordnen ist.</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4.2</w:t>
      </w:r>
    </w:p>
    <w:p>
      <w:r>
        <w:t>Der Vollzug ist nicht möglich, wenn der Ausländer weder in den Herkunfts- oder in den Heimatstaat noch in einen Drittstaat ausreisen oder dorthin gebracht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Art. 25 Abs. 2 der Bundesverfassung der Schweizerischen Eidgenossenschaft vom 18. April 1999 [BV, SR 101]).</w:t>
      </w:r>
    </w:p>
    <w:p>
      <w:r>
        <w:rPr>
          <w:b/>
        </w:rPr>
        <w:t>E. 4.4</w:t>
      </w:r>
    </w:p>
    <w:p>
      <w:r>
        <w:t>Gemäss Art. 25 Abs. 3 BV,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in einen Staat ausgeschafft werden, in dem ihm Folter oder eine andere Art unmenschlicher oder erniedrigender Strafe oder Behandlung droht.</w:t>
      </w:r>
    </w:p>
    <w:p>
      <w:r>
        <w:rPr>
          <w:b/>
        </w:rPr>
        <w:t>E. 5.1</w:t>
      </w:r>
    </w:p>
    <w:p>
      <w:r>
        <w:t>Die Vorinstanz erachtete den Vollzug der Wegweisung des Beschwerdeführers in den Sudan als zulässig, zumutbar und möglich. In seinen diesbezüglichen Erwägungen führte das BFM im Wesentlichen aus, der Wegweisungsvollzug sei zulässig, da der Grundsatz der Nichtrückschiebung im Sinne von Art. 5 Abs. 1 AsylG mangels Erfüllung der Flüchtlingseigenschaft nicht angewendet werden könne und sich überdies aus den Akten keine Anhaltspunkte dafür ergäben, dass dem Beschwerdeführer im Falle seiner Rückkehr ins Heimatland mit beachtlicher Wahrscheinlichkeit eine durch Art. 3 EMRK verbotene Strafe oder Behandlung drohe. Im Weiteren sei der Vollzug der Wegweisung technisch möglich und praktisch durchführbar. Hinsichtlich der Frage der Zumutbarkeit führte das BFM aus, eine Rückführung des Beschwerdeführers in seine Heimatregion Darfur sei aufgrund der dort herrschenden gegenwärtigen Situation nicht zumutbar. Hingegen sei es dem Beschwerdeführer zuzumuten, sich in einem anderen Teil des sudanesischen Staatsgebietes niederzulassen, da dort keine Situation allgemeiner Gewalt herrsche und auch keine individuellen Gründe vorlägen, welche gegen die Zumutbarkeit eines Wegweisungsvollzugs in eine Region ausserhalb von Darfur sprächen. Der junge, gesunde und ledige Beschwerdeführer habe eigenen Angaben zufolge eine fünfjährige Schulausbildung genossen und beherrsche auch die arabische Sprache. Im Jahr 1991 habe er sieben Monate in der Stadt F._______ im Bundesstaat Gezira gelebt und gearbeitet. Vor seiner Ausreise aus dem Heimatland sei er mehrere Jahre als Viehhändler tätig gewesen. Ab Januar 2004 habe er im Ausland - im Tschad und in Libyen - gelebt und gearbeitet. Im Weiteren lebten Familienangehörige und Verwandte des Beschwerdeführers, namentlich seine Schwester sowie mehrere Cousins, in Khartoum.</w:t>
      </w:r>
    </w:p>
    <w:p>
      <w:r>
        <w:rPr>
          <w:b/>
        </w:rPr>
        <w:t>E. 5.2</w:t>
      </w:r>
    </w:p>
    <w:p>
      <w:r>
        <w:t>In der Beschwerde wird unter Hinweis auf ein Urteil der ARK (Entscheidungen und Mitteilungen der Schweizerischen Asylrekurskommission / EMARK 2006 Nr. 25) darauf hingewiesen, dass in Darfur einer der schlimmsten Konfliktherde mit innen- wie auch aussenpolitischen, ethnischen und wirtschaftlichen Komponenten bestehe, welcher weiterhin unzählige Opfer von Menschenrechtsverletzungen fordere. Eine Verbesserung der Lage sei auch nach der im erwähnten Urteil vertretenen Auffassung nicht in Sicht. In demselben Urteil habe die ARK die Frage, ob eine innerstaatliche Fluchtalternative bestehe, verneint. Die dabei wiedergegebenen Informationen seien auch in Bezug auf die Frage, ob eine innerstaatliche Wohnsitzalternative zur Verfügung stehe, von Bedeutung. Gemäss einem Bericht des UNHCR vom Februar 2006 sowie einem Bericht der UNMIS vom August 2006 lebten in Khartoum ungefähr zwei Millionen Binnenflüchtlinge. Diese seien im Sudan sozial und wirtschaftlich marginalisiert. Sie seien häufig Opfer von Belästigungen und willkürlicher Gewalt und müssten mit der Zerstörung ihrer Lager, Zwangsumsiedlungen und Deportationen nach Darfur rechnen. Sie würden oftmals gezwungen, sich in Slums und wüstenähnlichen Gebieten niederzulassen, wo es keine Infrastruktur gebe. Die Behörden seien nicht gewillt, sie gegen Diskriminierungen und weitere Verfolgungshandlungen zu schützen. Das UNHCR empfehle deshalb, Personen aus Darfur zumindest vorläufig aufzunehmen und zurzeit keine nicht-arabisch-stämmigen Personen aus Darfur gegen ihren Willen in den Sudan auszuweisen. Der Bericht von "Aegis Trust" vom Juni 2006 komme zum Schluss, dass die Lebensbedingungen für intern Vertriebene in den Lagern und Siedlungen in und um Khartoum teilweise schlechter seien als in Darfur selbst. Personen, die im Ausland Schutz gesucht hätten, würden bei ihrer Rückkehr gezwungen, in Gebieten mit schlechter Sicherheitslage und ohne Zugang zu Arbeit, finanzieller oder humanitärer Hilfe zu leben. Personen, welche im Ausland exilpolitisch tätig gewesen seien, seien deswegen im Falle ihrer Rückkehr gefährdet. Auch Personen, welche aus Grossbritannien zurückkehrten, seien gefährdet, da sie verdächtigt würden, dort mit internationalen Organisationen in Kontakt getreten zu sein. In der Beschwerde wird weiter geltend gemacht, es bestehe eine grosse Wahrscheinlichkeit, dass der Beschwerdeführer im Falle seiner Rückkehr in den Sudan gezwungen würde, sich in einem Flüchtlingslager oder einer Siedlung für intern Vertriebene niederzulassen. Ob diesfalls überhaupt die Möglichkeit einer sozialen Integration bestünde, sei mehr als fraglich. Der Beschwerdeführer wäre angesichts der gegenwärtigen Lage im Sudan kaum fähig, sich eine wirtschaftliche Existenz aufzubauen. Die in Khartoum wohnhafte Schwester stelle kein tragfähiges Beziehungsnetz dar. Auch die Tatsache, dass der Beschwerdeführer im Alter von 14 Jahren sieben Monate ausserhalb von Darfur gelebt habe, werde ihm nichts nützen. Der Beschwerdeführer müsse im Falle seiner Rückkehr ausserdem damit rechnen, bei seiner Ankunft durch die sudanesischen Behörden verhaftet und unter Verletzung der Menschenrechte verhört zu werden, weil der sudanesische Nachrichtendienst es mit hoher Wahrscheinlichkeit bemerke, wenn jemand aus dem Ausland zurückkehre. Ausserdem müsse er befürchten, dass seine Unterstützung der Befreiungsbewegung "Tahrir" dem sudanesischen Geheimdienst bekannt geworden sei. Auch deshalb hätte er im Falle seiner Rückkehr unmenschliche Behandlung durch die Behörden zu gewärtigen. Aus diesen Gründen bestehe für den Beschwerdeführer keine inländische Aufenthaltsalternative, und die Rückschaffung in den Sudan sei unzumutbar.</w:t>
      </w:r>
    </w:p>
    <w:p>
      <w:r>
        <w:rPr>
          <w:b/>
        </w:rPr>
        <w:t>E. 5.3</w:t>
      </w:r>
    </w:p>
    <w:p>
      <w:r>
        <w:t>In seiner Vernehmlassung macht das BFM vorab Ausführungen zur Frage der Kollektivverfolgung und stellt fest, dass Mitglieder nichtarabischer Ethnien aus Darfur ausserhalb von Darfur keiner ethnisch motivierten Kollektivverfolgung im Sinne der Rechtsprechung ausgesetzt seien. Anschliessend legt die Vorinstanz ihre Praxis in Bezug auf Asylsuchende aus Darfur dar und führt aus, bei der Beurteilung der Wegweisung werde jeweils geprüft, ob diese im konkreten Einzelfall zulässig, zumutbar und möglich sei. Der in der Beschwerde zitierte UNHCR-Bericht vermöge daran nichts zu ändern. Das BFM verweist sodann auf ein Urteil der ARK aus dem Jahr 2006 sowie eine Zwischenverfügung des Bundesverwaltungsgerichts vom Januar 2007 und stellt fest, in den genannten Entscheiden sei die jeweils zuständige Gerichtsbehörde im Fall von Personen nichtarabischer Ethnie aus Darfur ebenfalls zum Schluss gekommen, es bestehe eine innerstaatliche Aufenthaltsalternative ausserhalb von Darfur. Für den vorliegenden Fall sei festzustellen, dass es dem Beschwerdeführer nicht gelungen sei, eine individuelle Verfolgung in Darfur glaubhaft zu machen. Ausserdem gehöre er keiner Risikogruppe dar. Wie in der angefochtenen Verfügung bereits dargelegt worden sei, bestünden auch keine individuellen Gründe, welche gegen das Vorliegen einer innerstaatlichen Aufenthaltsalternative sprechen würden. Das in der Beschwerde vorgebrachte Argument, wonach der Beschwerdeführer gezwungen wäre, in Khartoum in einer Siedlung für intern Vertriebene zu leben, sei nicht haltbar. Er habe mehrere Jahre die Schule besucht und spreche Arabisch und Fur. Zudem habe er von Mai 2005 bis November 2006 in Libyen im Gastgewerbe gearbeitet. Ausserdem verfüge er in Khartoum über ein Beziehungsnetz. Daher dürfte es ihm ohne Schwierigkeiten möglich sein, ausserhalb von Darfur Fuss zu fassen und für seinen Lebensunterhalt aufzukommen.</w:t>
      </w:r>
    </w:p>
    <w:p>
      <w:r>
        <w:rPr>
          <w:b/>
        </w:rPr>
        <w:t>E. 5.4</w:t>
      </w:r>
    </w:p>
    <w:p>
      <w:r>
        <w:t>Seitens des Beschwerdeführers wird in der Replik entgegnet, die Erläuterungen der Vorinstanz betreffend die Kollektivverfolgung seien vorliegend nicht von Bedeutung. Im UNHCR-Papier vom Februar 2006 werde nämlich nicht die Feststellung der Kollektivverfolgung von nicht-arabischstämmigen Personen aus Darfur verlangt, sondern einzig gefordert, dass diesen Personen Schutz gewährt werde. Das schweizerische Asylrecht sehe für den Fall des unzumutbaren Wegweisungsvollzugs die vorläufige Aufnahme vor. Die Tatsache, dass der Beschwerdeführer nicht einer der vom BFM genannten Risikogruppen angehöre, dürfe nicht dazu führen, dass er voreilig in andere Gebiete des Sudan abgeschoben werde. Aus zahlreichen aktuellen Berichten gehe hervor, dass die allgemeine humanitäre und menschenrechtliche Situation für intern Vertriebene im Sudan prekär sei. Die angefochtene Verfügung sowie die Vernehmlassung des BFM erweckten den Eindruck, die Vorinstanz missachte die klare Position des UNHCR.</w:t>
      </w:r>
    </w:p>
    <w:p>
      <w:r>
        <w:rPr>
          <w:b/>
        </w:rPr>
        <w:t>E. 6.1</w:t>
      </w:r>
    </w:p>
    <w:p>
      <w:r>
        <w:t>Gemäss der vorinstanzlichen Verfügung vom 1. Februar 2007, welche in diesem Punkt unangefochten blieb und somit rechtskräftig ist (vgl. vorstehend E. 3), erfüllt der Beschwerdeführer die Flüchtlingseigenschaft nicht. Die Normen des flüchtlingsrechtlichen Non-refoulements (Art. 5 AsylG, Art. 25 Abs. 2 BV, Art. 33 des Abkommen vom 28. Juli 1951 über die Rechtsstellung der Flüchtlinge [FK, SR 0.142.30]) schützen nur Personen, welche die Flüchtlingseigenschaft gemäss Art. 3 AsylG respektive Art. 1 A FK erfüllen. Auf abgewiesene Asylbewerber mit fehlender Flüchtlingseigenschaft findet dieses Rückschiebungsverbot hingegen keine Anwendung. Nach dem Gesagten ist eine erzwungene Rückkehr des Beschwerdeführers in seinen Heimatstaat unter dem Aspekt von Art. 5 AsylG zulässig. Sodann ergeben sich weder aus den Aussagen des Beschwerdeführers noch aus den Akten konkrete und glaubhafte Hinweise dafür, dass dem Beschwerdeführer für den Fall einer Ausschaffung in den Sudan dort mit beachtlicher Wahrscheinlichkeit eine nach Art. 3 EMRK oder nach Art. 1 FoK verbotene Strafe oder Behandlung drohen würde.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die nach wie vor zutreffenden Ausführungen in EMARK 2001 Nr. 16 S. 122, mit weiteren Hinweisen). Dies ist dem Beschwerdeführer nicht gelungen. Die allgemeine Menschenrechtssituation im Sudan - ausgenommen die Region Darfur - lässt den Wegweisungsvollzug zum heutigen Zeitpunkt nicht als unzulässig erscheinen. Es erscheint im Weiteren nicht als wahrscheinlich, dass der Beschwerdeführer, welcher keiner Risikogruppe angehört, im Falle seiner Rückkehr in den Sudan allein infolge seiner Ethnie und seines Auslandaufenthaltes respektive seiner Asylgesuchstellung in der Schweiz in menschenrechtswidriger Weise festgehalten und verhört würde. Entgegen der Auffassung des Beschwerdeführers ist im Weiteren mangels entsprechender aktenkundiger Indizien nicht davon auszugehen, dass der sudanesische Geheimdienst von der angeblich während seines Aufenthalts in Libyen erfolgten finanziellen Unterstützung der Befreiungsbewegung "Tahrir" erfahren hat. Der Vollzug der Wegweisung ist daher auch im Lichte der völkerrechtlichen Bestimmungen als zulässig zu erachten.</w:t>
      </w:r>
    </w:p>
    <w:p>
      <w:r>
        <w:rPr>
          <w:b/>
        </w:rPr>
        <w:t>E. 6.2</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dem Fehlen einer notwendigen medizinischen Behandlungsmöglichkeit, angenommen werden (vgl. Botschaft zum Bundesbeschluss über das Asylverfahren vom 22. Juni 1990, BBl 1990 II 668).</w:t>
      </w:r>
    </w:p>
    <w:p>
      <w:r>
        <w:rPr>
          <w:b/>
        </w:rPr>
        <w:t>E. 6.2.1</w:t>
      </w:r>
    </w:p>
    <w:p>
      <w:r>
        <w:t>Darfur, die Heimatregion des Beschwerdeführers, ist seit mehreren Jahren Schauplatz eines blutigen Bürgerkrieges. Die Vorinstanz hat zu Recht festgestellt, dass in der Region Darfur eine Situation allgemeiner Gewalt herrscht und der Vollzug der Wegweisung dorthin unzumutbar ist. Den Erkenntnissen des Bundesverwaltungsgerichts zufolge besteht hingegen ausserhalb der Region Darfur keine Situation allgemeiner Gewalt, und es sind keine konkreten Anhaltspunkte dafür ersichtlich, dass der Beschwerdeführer bei einer Rückführung in einen ausserhalb der Region Darfur gelegenen Gliedstaat Sudans einer konkreten Gefährdung im Sinne von Art. 14a Abs. 4 ANAG ausgesetzt wäre, weshalb der Wegweisungsvollzug dorthin als generell zumutbar zu qualifizieren ist.</w:t>
      </w:r>
    </w:p>
    <w:p>
      <w:r>
        <w:rPr>
          <w:b/>
        </w:rPr>
        <w:t>E. 6.2.2</w:t>
      </w:r>
    </w:p>
    <w:p>
      <w:r>
        <w:t>Entgegen den Ausführungen auf Beschwerdeebene sind auch keine individuellen, in der Person des Beschwerdeführers gelegenen Gründe ersichtlich, die den Wegweisungsvollzug als unzumutbar erscheinen lassen würden. Es handelt sich beim Beschwerdeführer um einen jungen und - laut Akten - gesunden Mann mit fünfjähriger Schulbildung, welcher die Sprachen Fur (Muttersprache) und Arabisch in Wort und Schrift beherrscht und ausserdem über rudimentäre Englischkenntnisse verfügt. Der Beschwerdeführer war vor seiner Ausreise aus dem Heimatland seit seiner Jugend im Viehhandel sowie in der Landwirtschaft tätig. Bereits im Alter von 14 Jahren arbeitete er ausserhalb seiner Heimatregion in der Stadt F._______ (Bundesstaat Gezira). Auch während seiner Aufenthalte im Tschad und in Libyen gelang es dem Beschwerdeführer, sich durch eigene Arbeitsinitiative ein Auskommen zu erwirtschaften. Unter diesen Umständen erscheint es wenig wahrscheinlich, dass der Beschwerdeführer bei seiner Rückkehr mangels anderer Optionen gezwungen sein wird, die nächsten Jahre in einem Flüchtlingslager zu verbringen. Vielmehr ist davon auszugehen, dass es dem Beschwerdeführer gelingen wird, sich im Sudan eine neue wirtschaftliche und soziale Existenz aufzubauen, zumal er über ein Beziehungsnetz in Khartoum verfügt, auf das er bei Bedarf zurückgreifen kann. Insbesondere leben dort den Akten zufolge mehrere Cousins sowie seine Schwester und sein Schwager; dieser arbeitet offenbar seit mehreren Jahren in Khartoum als Händler. Dessen Erfahrungen und Beziehungen dürften auch dem Beschwerdeführer zugute kommen.</w:t>
      </w:r>
    </w:p>
    <w:p>
      <w:r>
        <w:rPr>
          <w:b/>
        </w:rPr>
        <w:t>E. 6.2.3</w:t>
      </w:r>
    </w:p>
    <w:p>
      <w:r>
        <w:t>Nach dem Gesagten ist der Vollzug der Wegweisung insgesamt als zumutbar im Sinne von Art. 14a Abs. 4 ANAG zu qualifizieren.</w:t>
      </w:r>
    </w:p>
    <w:p>
      <w:r>
        <w:rPr>
          <w:b/>
        </w:rPr>
        <w:t>E. 6.3</w:t>
      </w:r>
    </w:p>
    <w:p>
      <w:r>
        <w:t>Der Vollzug der Wegweisung des Beschwerdeführers in den Sudan ist schliesslich auch als möglich im Sinne von Art. 14a Abs. 2 ANAG zu bezeichnen, da es ihm obliegt, sich - allenfalls in Zusammenarbeit mit der Vorinstanz - bei der zuständigen Vertretung seines Heimatlandes die für eine Rückkehr notwendigen Reisedokumente zu beschaffen (Art. 8 Abs. 4 AsylG).</w:t>
      </w:r>
    </w:p>
    <w:p>
      <w:r>
        <w:rPr>
          <w:b/>
        </w:rPr>
        <w:t>E. 6.4</w:t>
      </w:r>
    </w:p>
    <w:p>
      <w:r>
        <w:t>Zusammenfassend ergibt sich, dass der von der Vorinstanz verfügte Wegweisungsvollzug in Übereinstimmung mit den zu beachtenden Bestimmungen steht und zu bestätigen ist. Eine Anordnung der vorläufigen Aufnahme fällt damit ausser Betracht.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dem Beschwerdeführer aufzuerlegen (Art. 63 Abs. 1 VwVG). Nachdem aber weiterhin von seiner Bedürftigkeit auszugehen ist (vgl. die Bestätigung der Fürsorgeabhängigkeit vom 21. Februar 2007) und die Beschwerde nicht als aussichtslos bezeichnet werden konnte, ist in Gutheissung des Gesuchs um Gewährung der unentgeltlichen Rechtspflege im Sinne von Art. 65 Abs. 1 VwVG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