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D-1557/2010 vom 24. September 2010</w:t>
      </w:r>
    </w:p>
    <w:p>
      <w:r>
        <w:t>Bundesverwaltungsgericht, 2010-09-24, DE</w:t>
      </w:r>
    </w:p>
    <w:p>
      <w:r>
        <w:rPr>
          <w:b/>
        </w:rPr>
        <w:t xml:space="preserve">Quelle: </w:t>
      </w:r>
      <w:r>
        <w:t>https://mcp.opencaselaw.ch/entscheid/bvger_D-1557_2010</w:t>
      </w:r>
    </w:p>
    <w:p>
      <w:r>
        <w:t>FR: TAF D-1557/2010 du 24 septembre 2010</w:t>
      </w:r>
    </w:p>
    <w:p>
      <w:r>
        <w:t>IT: TAF D-1557/2010 del 24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 womit der in der Beschwerde gestellte Antrag, es sei dem Beschwerdeführer zu allfälligen Stellungnahmen des BFM das Replikrecht zu gewähren, gegenstandslos geworden ist.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nach Durchsicht der Akten festzuhalten, dass die Rüge des Beschwerdeführers, die Vorinstanz habe den Sachverhalt ungenügend festgestellt, unbegründet ist. Zudem ist darauf hinzuweisen, dass der Beschwerdeführer den Wortlaut sämtlicher Protokolle mit seiner Unterschrift bestätigt hat und sich deshalb seine Aussagen grundsätzlich entgegenhalten lassen muss.</w:t>
      </w:r>
    </w:p>
    <w:p>
      <w:r>
        <w:rPr>
          <w:b/>
        </w:rPr>
        <w:t>E. 5.2</w:t>
      </w:r>
    </w:p>
    <w:p>
      <w:r>
        <w:t>Nach Prüfung der Akten durch das Gericht ist - in Übereinstimmung mit der Vorinstanz - festzustellen, dass die Vorbringen des Beschwerdeführers den Anforderungen an die Glaubhaftigkeit gemäss Art. 7 AsylG nicht standzuhalten vermögen, weshalb diesbezüglich zur Vermeidung von Wiederholungen vorab auf die zutreffenden vorinstanzlichen Erwägungen zu verweisen ist (vgl. Ziffer I; Bst. E. vorstehend). Der Einwand des Beschwerdeführers in der Beschwerde, wonach er von der Verschwiegenheitspflicht der Schweizer Behörden bei der Kurzbefragung nichts gewusst und deshalb befürchtet habe, seine Aussagen würden an die heimatlichen Behörden weitergegeben, ist nicht geeignet, die in der angefochtenen Verfügung angeführten widersprüchlichen Aussagen des Beschwerdeführers plausibel zu machen, zumal dieser zu Beginn der Befragung auf die Verschwiegenheitspflicht der anwesenden Personen hingewiesen wurde. Zudem ist festzuhalten, dass seine Befürchtung beziehungsweise sein diesbezügliches Aussageverhalten gegenüber den Asylbehörden nicht mit seinem "Schutzersuchen" zu vereinbaren sind. Auch die übrigen Ausführungen des Beschwerdeführers in der Rechtsmittelschrift vermögen die in der angefochtenen Verfügung aufgeführten Unglaubhaftigkeitselemente nicht zu entkräften. Insbesondere vermag sein Einwand, er habe die Beweismittel von seinem Onkel erhalten, nichts am Umstand zu ändern, dass Originalhaftbefehle von den srilankischen Strafverfolgungsbehörden nicht herausgegeben werden. Zudem ist festzustellen, dass die Aussagen des Beschwerdeführers weitere erhebliche Ungereimtheiten enthalten, auf die vorliegend jedoch nicht einzugehen ist. Schliesslich ist festzuhalten, dass auch das eingereichte Arztzeugnis von Dr. med. N._______ vom 8. März 2010 nicht geeignet ist, die Asylvorbringen zu stützen, zumal es nicht die Ursachen der gesundheitlichen Probleme des Beschwerdeführers zu belegen vermag. Aufgrund des soeben Ausgeführten ist davon auszugehen, es handle sich bei den geltend gemachten Asylgründen des Beschwerdeführers um ein Sachverhaltskonstrukt, weswegen auch nicht geglaubt werden kann, dass er bei einer Rückkehr in sein Heimatland von den sri-lankischen Behörden etwas zu befürchten hätte.</w:t>
      </w:r>
    </w:p>
    <w:p>
      <w:r>
        <w:rPr>
          <w:b/>
        </w:rPr>
        <w:t>E. 5.3</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nach Sri Lanka befürchten müsste. Der Beschwerdeführer vermag mit seinen Beschwerdevorbringen und den eingereichten Dokumenten zu keiner anderen Betrachtungsweise zu führen, weshalb es sich erübrigt, weiter darauf einzugehen. Er erfüllt somit die Voraussetzungen zur Zuerkennung der Flüchtlingseigenschaft nicht, weshalb die Vorinstanz das Asylbegehren zu Recht und mit zutreffender Begründung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die Aussicht auf eine ge-sicherte Einkommens- und Wohnsituation (vgl. BVGE 2008/2 E. 7.6.2 S. 21 f.).</w:t>
      </w:r>
    </w:p>
    <w:p>
      <w:r>
        <w:rPr>
          <w:b/>
        </w:rPr>
        <w:t>E. 7.3.3</w:t>
      </w:r>
    </w:p>
    <w:p>
      <w:r>
        <w:t>Das Bestehen einer solchen innerstaatlichen Aufenthaltsalternative ist vorliegend zu bejahen. Eigenen Angaben zufolge lebt ein Onkel des Beschwerdeführers in Colombo, bei dem er sich vor seiner Ausreise aus Sri Lanka aufgehalten haben will. Es ist daher davon auszugehen, dass der Beschwerdeführer bei einer Rückkehr nach Colombo vorerst dort unterkommen kann. Zudem verfügt er über jahrelange Berufserfahrung als Zimmermann und spricht neben Tamilisch etwas Englisch und Singhalesisch, weshalb anzunehmen ist, er könne sich in Colombo sowohl beruflich als auch wirtschaftlich integrieren. Dabei wird er im Bedarfsfall auf die (finanzielle) Unterstützung seiner Verwandten zählen können, die im Norden von Sri Lanka leben. Aus den Akten ist zudem ersichtlich, dass der junge Beschwerdeführer nicht unter ernsthaften gesundheitlichen Problemen leidet. Nach dem Gesagten ist der Vollzug der Wegweisung des Beschwerdeführers nach Sri Lanka als zumutbar zu erachten. Übereinstimmend mit der Vorinstanz ist der Vollständigkeit halber festzustellen, dass es dem Beschwerdeführer - aufgrund der dänischen Staatsbürgerschaft seiner Ehefrau - auch möglich und zuzumuten ist, sich nach Dänemark zu begeben und sich dort im Rahmen eines Gesuches um Familiennachzug um eine Aufenthaltsberechtigung zu bemühen.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9. April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