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D-1554/2024 vom 7. Februar 2024</w:t>
      </w:r>
    </w:p>
    <w:p>
      <w:r>
        <w:t>Bundesverwaltungsgericht, 2024-02-07, DE</w:t>
      </w:r>
    </w:p>
    <w:p>
      <w:r>
        <w:rPr>
          <w:b/>
        </w:rPr>
        <w:t xml:space="preserve">Quelle: </w:t>
      </w:r>
      <w:r>
        <w:t>https://mcp.opencaselaw.ch/entscheid/bvger_D-1554_2024_d20240207</w:t>
      </w:r>
    </w:p>
    <w:p>
      <w:r>
        <w:t>FR: TAF D-1554/2024 du 7 février 2024</w:t>
      </w:r>
    </w:p>
    <w:p>
      <w:r>
        <w:t>IT: TAF D-1554/2024 del 7 febbraio 2024</w:t>
      </w:r>
    </w:p>
    <w:p>
      <w:pPr>
        <w:pStyle w:val="Heading2"/>
      </w:pPr>
      <w:r>
        <w:t>Regeste</w:t>
      </w:r>
    </w:p>
    <w:p>
      <w:r>
        <w:t>Asyl (ohne Wegweisungsvollzug) | Asyl (ohne Wegweisungsvollzug); Verfügung des SEM vom 7.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Der Beschwerdeführer rügte, der rechtserhebliche Sachverhalt sei vom SEM nicht richtig und nicht vollständig erstellt und der Entscheid folglich ungenügend begründet worden. Diese verfahrensrechtlichen Rügen sind vorab zu beurteilen, da sie gegebenenfalls geeignet sind, eine Kassation der vorinstanzlichen Verfügung zu bewirken.</w:t>
      </w:r>
    </w:p>
    <w:p>
      <w:r>
        <w:t>D-1554/2024 Seite 7</w:t>
      </w:r>
    </w:p>
    <w:p>
      <w:r>
        <w:rPr>
          <w:b/>
        </w:rPr>
        <w:t>E. 3.2</w:t>
      </w:r>
    </w:p>
    <w:p>
      <w:r>
        <w:t>Im Asylverfahren gilt, wie in anderen Verwaltungsverfahren, der Unter- suchungsgrundsatz (Art. 6 AsylG i.V.m. Art. 12 VwVG).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Unvollständig ist die Sachverhaltsfeststellung, wenn nicht alle für den Entscheid rechtsrele- vanten Sachumstände berücksichtigt wurden, unrichtig, wenn der Verfü- gung ein falscher und aktenwidriger Sachverhalt zugrunde gelegt wird. Mit dem in Art. 29 Abs. 2 BV garantierten und in den Art. 26-35 VwVG konkre- tisierten Anspruch der betroffenen Person auf rechtliches Gehör (vgl. BGE 135 II 286 E. 5.1; BVGE 2009/35 E. 6.4.1) korreliert die Pflicht der Behör- den, die Vorbringen tatsächlich zu hören, ernsthaft zu prüfen und in ihrer Entscheidung angemessen zu berücksichtigen. Die Begründung muss so abgefasst sein, dass sie eine sachgerechte Anfechtung ermöglicht. Die Be- hörde muss die wesentlichen Überlegungen nennen, von denen sie sich hat leiten lassen und auf die sie ihren Entscheid stützt. Nicht erforderlich ist hingegen, dass sich die Begründung mit allen Parteistandpunkten ein- lässlich auseinandersetzt und jedes einzelne Vorbringen ausdrücklich er- wähnt oder widerlegt. Somit darf sich die Vorinstanz bei der Begründung der Verfügung auf die für den Entscheid wesentlichen Gesichtspunkte be- schränken und ist nicht gehalten, sich ausdrücklich mit jeder tatbeständli- chen Behauptung auseinanderzusetzen (vgl. BGE 136 I 184 E. 2.2.1, 126 I 97 E. 2b).</w:t>
      </w:r>
    </w:p>
    <w:p>
      <w:r>
        <w:rPr>
          <w:b/>
        </w:rPr>
        <w:t>E. 3.3.1</w:t>
      </w:r>
    </w:p>
    <w:p>
      <w:r>
        <w:t>Die Vorinstanz führte in ihrem Entscheid vom 7. Februar 2024 aus, sie habe sich zu den Fluchtgründen des Beschwerdeführers schon in ihrer Verfügung vom 4. August 2020 geäussert, und in diesen keine Nachteile beachtlicher Intensität und keine begründete Furcht des Beschwerdefüh- rers vor solchen erkannt. Das Bundesverwaltungsgericht habe diese Ein- schätzung im Urteil vom 9. März 2022 gestützt. Es würden keine Hinweise vorliegen, dass das neu geltend gemachte Strafverfahren, welches gegen den Beschwerdeführer in der Türkei wegen des Vorwurfs der Propaganda für eine terroristische Organisation geführt werde, einen ursächlichen Kon- nex mit den vom Beschwerdeführer vor der Ausreise erlebten Nachteilen hätte. Die Vorinstanz verzichtete deshalb auf eine erneute Würdigung der ursprünglichen Vorbringen und verwies vollumfänglich auf die diesbezüg- lichen Erwägungen in ihrer Verfügung vom 4. August 2020 sowie im Urteil des Bundesverwaltungsgerichts vom 9. März 2022 (vgl. Verfügung vom</w:t>
      </w:r>
    </w:p>
    <w:p>
      <w:r>
        <w:rPr>
          <w:b/>
        </w:rPr>
        <w:t>E. 3.3.2</w:t>
      </w:r>
    </w:p>
    <w:p>
      <w:r>
        <w:t>Der Beschwerdeführer monierte in der Rechtsmitteleingabe vom</w:t>
      </w:r>
    </w:p>
    <w:p>
      <w:r>
        <w:rPr>
          <w:b/>
        </w:rPr>
        <w:t>E. 3.3.3</w:t>
      </w:r>
    </w:p>
    <w:p>
      <w:r>
        <w:t>Das SEM hielt in der Vernehmlassung zur Beschwerde an seinem Entscheid fest.</w:t>
      </w:r>
    </w:p>
    <w:p>
      <w:r>
        <w:rPr>
          <w:b/>
        </w:rPr>
        <w:t>E. 3.4</w:t>
      </w:r>
    </w:p>
    <w:p>
      <w:r>
        <w:t>Eine Überprüfung der Akten ergibt, dass die vorinstanzliche Verfügung den formellen Anforderungen in der Tat nicht zu genügen vermag. Was die formellen Anforderungen an die Begründungspflicht anbelangt, ist darauf hinzuweisen, dass ein Verweis auf separate Dokumente zwar zulässig ist, insbesondere aus prozessökonomischen Gründen bei nicht streitigen Sachverhalten und abstrakten Rechtsausführungen. Unzulässig ist aber in jedem Fall ein pauschaler Verweis auf andere Schriftstücke; notwendig ist eine Auseinandersetzung. Erst recht ungenügend ist der blosse Hinweis auf die Akten (vgl. UHLMANN/ SCHILLING-SCHWANK, in: Waldmann/Kraus- kopf [Hrsg.], Praxiskommentar Verwaltungsverfahrensgesetz, 3. Aufl. 2023, Art. 35 N. 13; m.w.H.). Die Rüge der unzulänglichen Begründung des vorinstanzlichen Entscheids ist vorliegend berechtigt. Zum einen kann sich der allgemeine Verweis auf frühere Entscheide in gewissen Fällen als prob- lematisch erweisen. Hinzu kommt, dass das SEM auf die Beurteilung der Fluchtgründe des Beschwerdeführers verzichtete und stattdessen vollum- fänglich auf Erwägungen in früheren Entscheiden – namentlich in der Ver- fügung des SEM vom 4. August 2020 und im Beschwerdeurteil des Bun- desverwaltungsgerichts D-4246/2020 vom 9. März 2022 – verwies,</w:t>
      </w:r>
    </w:p>
    <w:p>
      <w:r>
        <w:t>D-1554/2024 Seite 9 obschon die besagten Entscheide vom 4. August 2020 und 9. März 2022 vom Bundesverwaltungsgericht mit Urteil vom 10. August 2022 (D-6610/2020 und D-2497/2022) aufgehoben worden sind. Die Ausführun- gen in den aufgehobenen Entscheiden haben daher keinen Bestand und folglich lässt sich mit einem Verweis auf diese auch nicht ein Verzicht auf eine Würdigung der Fluchtgründe des Beschwerdeführers begründen. Es fehlt mithin an einer rechtsgenüglichen Gesamtwürdigung der Vorbringen des Beschwerdeführers seitens des SEM. Dem Beschwerdeführer wurde damit eine sachgerechte Anfechtung des vorinstanzlichen Entscheids ver- wehrt und sein Anspruch auf rechtliches Gehör wurde verletzt. Ferner fällt auch auf, dass das im Sachverhalt der Verfügung aufgeführte Beweismittel «Entscheid Kommission betr. (…) Urteil» (vgl. Verfügung vom 7. Februar 2024 S. 5 I/Ziff. 10.), bei welchem es sich laut dem Beschwerdeführer um einen Entscheid der zuständigen Kommission vom (…) 2022 handelt, ihn definitiv nicht mehr zum (…) zuzulassen (vgl. SEM-Akte […]-25/8), in der Verfügung keine weitere Beachtung fand.</w:t>
      </w:r>
    </w:p>
    <w:p>
      <w:r>
        <w:rPr>
          <w:b/>
        </w:rPr>
        <w:t>E. 3.5</w:t>
      </w:r>
    </w:p>
    <w:p>
      <w:r>
        <w:t>Gemäss Art. 61 Abs. 1 VwVG entscheidet das Bundesverwaltungsge- richt in der Sache selbst oder weist diese mit verbindlichen Weisungen an die Vorinstanz zurück. Der Anspruch auf rechtliches Gehör ist formeller Na- tur und eine Verletzung desselben führt grundsätzlich zur Aufhebung des betreffenden Entscheids, ungeachtet der Erfolgsaussichten der Be- schwerde in der Sache selbst (vgl. BVGE 2008/47 E. 3.3.4). Angesichts der unzulänglichen vorinstanzlichen Begründung ist eine Kassation ange- zeigt, zumal eine korrekte Begründung auch im Rahmen der Vernehmlas- sung nicht nachgeholt wurde. Die angefochtene Verfügung ist daher aus formellen Gründen aufzuheben und das SEM aufzufordern, die Sache un- ter Einhaltung der Begründungspflicht gesamthaft neu zu beurteilen. 4. Nach dem Gesagten ist die Beschwerde insofern gutzuheissen, als die Auf- hebung der vorinstanzlichen Verfügung beantragt wird. Die Verfügung vom 7. Februar 2024 ist aufzuheben und die Sache zur Neubeurteilung im Sinne der Erwägungen an das SEM zurückzuweisen. Auf die weiteren Beschwerdebegehren und -vorbringen ist aufgrund der vorliegenden Kassation zum heutigen Zeitpunkt nicht näher einzugehen. 5. Bei diesem Ausgang des Verfahrens sind keine Kosten zu erheben (Art. 63 Abs. 1 und 2 VwVG).</w:t>
      </w:r>
    </w:p>
    <w:p>
      <w:r>
        <w:t>D-1554/2024 Seite 10 6. 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Der Rechts- vertreter reichte mit der Replik vom 3. Juni 2024 eine Kostennote ein. Er bezifferte den zeitlichen Aufwand mit 5.2 Stunden, beantragte einen Stun- denansatz von Fr. 220.– und machte Barauslagen von Fr. 22.10 geltend. Der Aufwand erscheint angemessen und die Auslagen sowie der Stunden- ansatz sind nicht zu beanstanden. Die von der Vorinstanz auszurichtende Parteientschädigung ist demnach auf insgesamt Fr. 1166.10 festzusetzen.</w:t>
      </w:r>
    </w:p>
    <w:p>
      <w:r>
        <w:t>(Dispositiv nächste Seite)</w:t>
      </w:r>
    </w:p>
    <w:p>
      <w:r>
        <w:t>D-1554/2024 Seite 11</w:t>
      </w:r>
    </w:p>
    <w:p>
      <w:r>
        <w:rPr>
          <w:b/>
        </w:rPr>
        <w:t>E. 4</w:t>
      </w:r>
    </w:p>
    <w:p>
      <w:r>
        <w:t>Nach dem Gesagten ist die Beschwerde insofern gutzuheissen, als die Aufhebung der vorinstanzlichen Verfügung beantragt wird. Die Verfügung vom 7. Februar 2024 ist aufzuheben und die Sache zur Neubeurteilung im Sinne der Erwägungen an das SEM zurückzuweisen. Auf die weiteren Beschwerdebegehren und -vorbringen ist aufgrund der vorliegenden Kassation zum heutigen Zeitpunkt nicht näher einzugehen.</w:t>
      </w:r>
    </w:p>
    <w:p>
      <w:r>
        <w:rPr>
          <w:b/>
        </w:rPr>
        <w:t>E. 5</w:t>
      </w:r>
    </w:p>
    <w:p>
      <w:r>
        <w:t>Bei diesem Ausgang des Verfahrens sind keine Kosten zu erheben (Art. 63 Abs. 1 und 2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Replik vom 3. Juni 2024 eine Kostennote ein. Er bezifferte den zeitlichen Aufwand mit 5.2 Stunden, beantragte einen Stundenansatz von Fr. 220.- und machte Barauslagen von Fr. 22.10 geltend. Der Aufwand erscheint angemessen und die Auslagen sowie der Stundenansatz sind nicht zu beanstanden. Die von der Vorinstanz auszurichtende Parteientschädigung ist demnach auf insgesamt Fr. 1166.10 festzusetzen. (Dispositiv nächste Seite)</w:t>
      </w:r>
    </w:p>
    <w:p>
      <w:r>
        <w:rPr>
          <w:b/>
        </w:rPr>
        <w:t>E. 7</w:t>
      </w:r>
    </w:p>
    <w:p>
      <w:r>
        <w:t>Februar 2024 S. 5 II/Ziff. 1). Nachfolgend prüfte die Vorinstanz (nur) die</w:t>
      </w:r>
    </w:p>
    <w:p>
      <w:r>
        <w:t>D-1554/2024 Seite 8 asylrechtliche Relevanz des in der Türkei gegen den Beschwerdeführer geführten Strafverfahrens wegen Posts auf Facebook, die in Verbindung mit der PKK und deren Ideologie gebracht würden.</w:t>
      </w:r>
    </w:p>
    <w:p>
      <w:r>
        <w:rPr>
          <w:b/>
        </w:rPr>
        <w:t>E. 11</w:t>
      </w:r>
    </w:p>
    <w:p>
      <w:r>
        <w:t>März 2024, das SEM habe den Sachverhalt nicht korrekt erstellt und seinen Entscheid nicht gehörig begründet, indem es einfach gesagt habe, weiter zurückliegende Vorfälle, namentlich in Zusammenhang mit seiner Suspendierung als (…) und der Durchsuchung seiner Wohnung, seien schon in früheren Entscheiden abgeurteilt worden und würden daher nicht mehr berücksichtigt. Die besagten früheren Entscheide des SEM und des Bundesverwaltungsgerichts seien vom Bundesverwaltungsgericht am 10. August 2022 aufgehoben und die Sache zur Neubeurteilung an das SEM zurückgewiesen worden. Die Vorinstanz wäre demnach gehalten ge- wesen, den ganzen Sachverhalt neu zu erstellen und gesamthaft neu zu prüfen und ganzheitlich zu beurteilen. Seine Posts könnten nicht zusam- menhangslos zu den vorhergehenden Umständen betrachtet werden, son- dern seien Ausdruck seines Unmuts über die ohne triftigen Grund erfolgte Suspendierung vom (…)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