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D-1550/2020 vom 4. Mai 2020</w:t>
      </w:r>
    </w:p>
    <w:p>
      <w:r>
        <w:t>Bundesverwaltungsgericht, 2020-05-04, DE</w:t>
      </w:r>
    </w:p>
    <w:p>
      <w:r>
        <w:rPr>
          <w:b/>
        </w:rPr>
        <w:t xml:space="preserve">Quelle: </w:t>
      </w:r>
      <w:r>
        <w:t>https://mcp.opencaselaw.ch/entscheid/bvger_D-1550_2020</w:t>
      </w:r>
    </w:p>
    <w:p>
      <w:r>
        <w:t>FR: TAF D-1550/2020 du 4 mai 2020</w:t>
      </w:r>
    </w:p>
    <w:p>
      <w:r>
        <w:t>IT: TAF D-1550/2020 del 4 maggio 2020</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endgültig, ausser - was vorliegend nicht der Fall ist - bei Vorliegen eines Auslieferungsersuchens des Staates, vor dem die Beschwerde führende Person Schutz sucht (Art. 105 AsylG i.V.m. Art. 31-33 VGG; Art. 83 Bst. d Ziff. 1 BGG).</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1.3</w:t>
      </w:r>
    </w:p>
    <w:p>
      <w:r>
        <w:t>Die Kognition des Bundesverwaltungsgerichts und die zulässigen Rügen richten sich im Asylbereich nach Art. 106 Abs. 1 AsylG und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Das Wiedererwägungsverfahren ist im Asylrecht spezialgesetzlich geregelt (vgl. Art. 111b ff. AsylG). Gemäss Art. 111b Abs. 1 AsylG ist ein Wiedererwägungsgesuch dem SEM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 Blieb - wie vorliegend der Fall - die abzuändernde Verfügung unangefochten oder wurde ein Beschwerdeverfahren mit einem Prozessentscheid abgeschlossen, können auch Revisionsgründe einen Anspruch auf Wiedererwägung begründen (zum sog. "qualifizierten Wiedererwägungsgesuch" vgl. BVGE 2013/22 E. 5.4 m.w.H.).</w:t>
      </w:r>
    </w:p>
    <w:p>
      <w:r>
        <w:rPr>
          <w:b/>
        </w:rPr>
        <w:t>E. 3.1</w:t>
      </w:r>
    </w:p>
    <w:p>
      <w:r>
        <w:t>Der Beschwerdeführer rügt eine Verletzung des rechtlichen Gehörs und des Untersuchungsgrundsatzes. Diese formellen Rügen sind vorab zu beurteilen. Der Beschwerdeführer macht geltend, die Vorinstanz habe sein Gesuch, in welchem er seine wahre Identität offenlege, nicht ernst genommen und ihn nicht angehört, obwohl er die Bereitschaft geäussert habe, sich ausführlich zu seinen Fluchtgründen zu äussern. Es erstaune wenig, dass Laieneingaben nicht immer den strengen gesetzlichen Vorgaben entsprechen würden, weshalb in solchen Fällen die Einräumung des rechtlichen Gehörs unbedingt angezeigt erscheine und man von ihm zumindest eine Verbesserung seines Wiedererwägungsgesuchs im Sinne einer Präzisierung der Verfolgungsvorbringen hätte verlangen sollen. Es gehe nicht an, ein Gesuch in Unkenntnis des Sachverhalts und der Gefährdungslage einer Person mit Verweis auf eine nicht erfüllte Mitwirkungspflicht genau dann abzuweisen, wenn die Person ihrer Mitwirkungspflicht offensichtlich nachkomme und sich Hinweise auf flüchtlingsrelevante Verfolgung im Heimatland ergeben würden, mithin eine Verletzung des Refoulement-Gebots im Falle eines Vollzugs der Wegweisung drohe.</w:t>
      </w:r>
    </w:p>
    <w:p>
      <w:r>
        <w:rPr>
          <w:b/>
        </w:rPr>
        <w:t>E. 3.2</w:t>
      </w:r>
    </w:p>
    <w:p>
      <w:r>
        <w:t>Nach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Gemäss dem seit 1. Februar 2014 zur Anwendung kommenden Verfahren für Folgegesuche soll bei Wiedererwägungs- und Asylfolgegesuchen (sog. Mehrfachgesuche) Art. 29 AsylG grundsätzlich nicht mehr zur Anwendung kommen. Dementsprechend wird über Folgegesuche, so auch das hier in Frage stehende Wiedererwägungsgesuch (vgl. Art. 111b AsylG), grundsätzlich in einem Aktenverfahren ohne weitere Anhörung der gesuchstellenden Person entschieden. Damit wurden auch die formellen Anforderungen an die Eingabe von Folgegesuchen geändert. Folgegesuche sollen nur noch schriftlich und begründet eingereicht werden können. Dabei müssen Folgegesuche immerhin soweit begründet sein, dass sie die Behörde in die Lage versetzen, über das Gesuch zu entscheiden, auch ohne dass sie die gesuchstellende Person anhört. Die solchermassen vorgenommene Beschleunigung darf nicht auf Kosten der Rechtsstaatlichkeit der Verfahren erfolgen. Das Bundesverwaltungsgericht hat in BVGE 2014/39 E. 5.5 namentlich für Mehrfachgesuche festgehalten, dass - insbesondere bei erneuten Asylgesuchen von Personen, die zwischenzeitlich in ihr Heimatland zurückgekehrt sind - tatsächlich neue beachtliche Gründe für eine Verfolgung geltend gemacht werden können, die in einer schriftlichen (Laien-)Eingabe nicht ausführlich genug dargelegt werden können. Dabei regelt das AsylG nicht, ob, beziehungsweise in welchen Fällen das SEM einer ein Wiedererwägungs- oder Mehrfachgesuch stellenden Person Gelegenheit zur Verbesserung oder Ergänzung des Gesuchs einzuräumen hat. Bei ungenügender Einhaltung der Formvorschriften ist daher in analoger Anwendung der Regeln über die Verbesserung der Beschwerde eine Frist nach Art. 52 VwVG einzuräumen. Ein solches Vorgehen ist auch dem Grundsatz des Verbots des überspitzten Formalismus geschuldet und mit Rücksicht auf die hochrangigen Rechtsgüter, welche Gegenstand des Asylverfahrens sind, geboten (BVGE 2014/39 E. 5.5).</w:t>
      </w:r>
    </w:p>
    <w:p>
      <w:r>
        <w:rPr>
          <w:b/>
        </w:rPr>
        <w:t>E. 4.1</w:t>
      </w:r>
    </w:p>
    <w:p>
      <w:r>
        <w:t>Der Beschwerdeführer machte in seinem Wiedererwägungsgesuch vom 17. Dezember 2019 erstmals geltend, er stamme aus Djibouti und sei djiboutischer Staatsangehöriger. Die Vorinstanz erachtete die solchermassen dargelegte und mit Originaldokumenten belegte (tatsächliche) Identität als glaubhaft und ging in der angefochtenen Verfügung davon aus, dass es sich beim Beschwerdeführer um einen djiboutischen Staatsangehörigen handle. Sie verzichtete auf die Durchführung weiterer Instruktionsmassnahmen und stützte sich in ihrem Entscheid auf die - eine A4-Seite umfassende - Laieneingabe des Beschwerdeführers, in welcher er in knapper Form und hinsichtlich der neuen Asylvorbringen gar nur durch die Angabe von Kernpunkten auf seine Probleme und die seitens der heimatlichen Behörden erlittenen Verfolgungsmassnahmen hinwies.</w:t>
      </w:r>
    </w:p>
    <w:p>
      <w:r>
        <w:rPr>
          <w:b/>
        </w:rPr>
        <w:t>E. 4.2</w:t>
      </w:r>
    </w:p>
    <w:p>
      <w:r>
        <w:t>Das Bundesverwaltungsgericht erachtet es mit Blick auf die bloss rudimentär gehaltene und wenig ausführliche Laieneingabe vom 17. Dezember 2019 als nicht hinreichend erstellt, dass angesichts der erstmals dargelegten - unbestrittenen - Identität des Beschwerdeführers keine neuen beachtlichen Gründe für eine Verfolgung vorliegen. Dies gilt umso mehr, als der - mit den Verfahrensabläufen bei einem Wiedererwägungsverfahren nicht vertrauten Beschwerdeführer, der seinerseits ohne Rechtsbeistand sein Gesuch einreichte - in seiner fraglichen Eingabe ausdrücklich darum ersucht hat, es sei ihm Gelegenheit zur (mündlichen) Stellungnahme und Erklärung seiner Asylvorbringen einzuräumen, womit er zu verstehen gegeben hat, dass er seine Fluchtgründe in der Eingabe vom 17. Dezember 2019 nicht vollumfänglich geschildert hat. Indem die Vorinstanz darauf verzichtete, dem Beschwerdeführer in analoger Anwendung von Art. 52 VwVG die Möglichkeit zur Verbesserung seiner knappen Eingabe vom 17. Dezember 2019 einzuräumen und ihn auch nicht mündlich zu seinen rudimentär dargelegten, gänzlich neuen Asylvorbringen anhörte, handelte sie überspitzt formalistisch und verletzte damit die dem Beschwerdeführer aus Art. 29 BV zustehenden Rechte. Gleichzeitig ist auch der rechtserhebliche Sachverhalt im Zusammenhang mit den im Wiedererwägungsgesuch bloss angedeuteten Geschehnissen in der tatsächlichen Heimat des Beschwerdeführers aufgrund der fehlenden weiteren Abklärung als nicht rechtsgenüglich erstellt zu erachten. Im Sinne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E. 3.2 vorstehend).</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5.3</w:t>
      </w:r>
    </w:p>
    <w:p>
      <w:r>
        <w:t>Nach dem Gesagten erweist sich eine Kassation als angezeigt. Zwar kann auch das Bundesverwaltungsgericht einzelne Untersuchungsmassnahmen veranlassen und selber durchführen. Da jedoch der Sachverhalt nicht abschliessend geklärt erscheint und weitere Untersuchungsmassnahmen notwendig sind, ist die Beschwerde gutzuheissen, die angefochtene Verfügung aufzuheben und an die Vorinstanz zurückzuweisen. Das SEM wird angewiesen, in geeigneter Weise die Umstände und die Gründe der Flucht des Beschwerdeführers aus der Heimat Djibouti unter Würdigung der im Beschwerdeverfahren eingereichten Unterlagen abzuklären und neu zu beurteilen. Bei dieser Sachlage erübrigt sich eine weitere Auseinandersetzung mit den restlichen Vorbringen im Beschwerdeverfahren.</w:t>
      </w:r>
    </w:p>
    <w:p>
      <w:r>
        <w:rPr>
          <w:b/>
        </w:rPr>
        <w:t>E. 6</w:t>
      </w:r>
    </w:p>
    <w:p>
      <w:r>
        <w:t>Mit dem materiellen Entscheid in der Hauptsache wird der prozessuale Antrag, es sei der Vollzug der Wegweisung für die Dauer des Beschwerdeverfahrens auszusetzen, hinfällig. Der am 18. März 2020 verfügte einstweilige Vollzugsstopp fällt mit dem vorliegenden Urteil dahin.</w:t>
      </w:r>
    </w:p>
    <w:p>
      <w:r>
        <w:rPr>
          <w:b/>
        </w:rPr>
        <w:t>E. 7.1</w:t>
      </w:r>
    </w:p>
    <w:p>
      <w:r>
        <w:t>Bei diesem Ausgang des Verfahrens sind keine Kosten zu erheben (Art. 63 Abs. 3 VwVG i.V.m. Art. 37 VGG), weshalb der Antrag um Gewährung der unentgeltlichen Prozessführung gegenstandslos geworden ist.</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hat keine Kostennote zu den Akten gereicht. Auf die Nachforderung einer solchen kann jedoch verzichtet werden, da sich im vorliegenden Verfahren der Aufwand zuverlässig abschätzen lässt (Art. 14 Abs. 2 VGKE). Dem Beschwerdeführer ist somit eine Parteientschädigung zu Lasten des SEM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