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D-1550/2013 vom 21. Oktober 2013</w:t>
      </w:r>
    </w:p>
    <w:p>
      <w:r>
        <w:t>Bundesverwaltungsgericht, 2013-10-21, DE</w:t>
      </w:r>
    </w:p>
    <w:p>
      <w:r>
        <w:rPr>
          <w:b/>
        </w:rPr>
        <w:t xml:space="preserve">Quelle: </w:t>
      </w:r>
      <w:r>
        <w:t>https://mcp.opencaselaw.ch/entscheid/bvger_D-1550_2013</w:t>
      </w:r>
    </w:p>
    <w:p>
      <w:r>
        <w:t>FR: TAF D-1550/2013 du 21 octobre 2013</w:t>
      </w:r>
    </w:p>
    <w:p>
      <w:r>
        <w:t>IT: TAF D-1550/2013 del 21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Vorab ist festzuhalten, dass das BFM in der angefochtenen Verfügung zu Recht auf mehrere Unstimmigkeiten in den Aussagen der Beschwerdeführerin verwiesen hat (vgl. Bst. B.b vorstehend). Diese dürften sich nicht (gänzlich) dadurch erklären lassen, dass die Beschwerdeführerin - wie in der Beschwerde ausgeführt - unter starken Schamgefühlen sowie einer inneren Blockade leidet und bei ihren Aussagen allenfalls unter Druck stand. Eine einlässliche Erörterung hinsichtlich der Glaubhaftigkeit ihrer Vorbringen (insbesondere eine Aufzählung weiterer Unglaubhaftigkeitselemente) erübrigt sich jedoch, da diese - wie nachfolgend aufgezeigt - auch bei Wahrunterstellung den Anforderungen an die Flüchtlingseigenschaft gemäss Art. 3 AsylG nicht standzuhalten vermögen.</w:t>
      </w:r>
    </w:p>
    <w:p>
      <w:r>
        <w:rPr>
          <w:b/>
        </w:rPr>
        <w:t>E. 4.1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 Weise befürchten muss, welche ihr gezielt und aufgrund bestimmter Verfolgungsmotive durch Organe des Heimatstaates oder durch nichtstaatliche Akteure zugefügt worden sind beziehungsweise zugefügt zu werden drohen. Aufgrund der Subsidiarität des flüchtlingsrechtlichen Schutzes setzt die Zuerkennung der Flüchtlingseigenschaft ausserdem voraus, dass die betroffene Person in ihrem Heimatland keinen ausreichenden Schutz finden kann (vgl. BVGE 2011/51 E. 7 S. 1017 ff.).</w:t>
      </w:r>
    </w:p>
    <w:p>
      <w:r>
        <w:rPr>
          <w:b/>
        </w:rPr>
        <w:t>E. 4.2</w:t>
      </w:r>
    </w:p>
    <w:p>
      <w:r>
        <w:t>Nachteilen, die Frauen zugefügt werden oder zugefügt zu werden drohen, liegt dann ein flüchtlingsrechtlich relevantes Motiv im Sinne von Art. 3 Abs. 1 AsylG zugrunde, wenn diese Nachteile in diskriminierender Weise an das Merkmal des (weiblichen) Geschlechts anknüpfen. Dies ist etwa der Fall, wenn in Ländern mit weitverbreiteten traditionell-kon­ser­va­ti­ven Wertvorstellungen von Zwangsheirat oder Ehrenmord bedrohte Frauen und Mädchen nicht denselben staatlichen Schutz erhalten, mit dem im Allgemeinen männliche Opfer von privater Gewalt rechnen können (vgl. Urteil des Bundesverwaltungsgerichts D-4289/2006 vom 11. Sep­tem­ber 2008 E. 6.4).</w:t>
      </w:r>
    </w:p>
    <w:p>
      <w:r>
        <w:rPr>
          <w:b/>
        </w:rPr>
        <w:t>E. 5.1</w:t>
      </w:r>
    </w:p>
    <w:p>
      <w:r>
        <w:t>Zunächst ist darauf hinzuweisen, dass es den Vorbringen der Beschwerdeführerin mit politischem Bezug (Festnahme nach einer Kundgebung, Verwarnung durch einen Polizisten wegen des Transports kurdischer Zeitschrif­ten, Auftauchen der Behörden bei ihr zuhause wegen der PKK-Mit­gliedschaft eines Verwandten) vor allem an der geforderten Inten­sität fehlt. Diese Vorbringen sind somit flüchtlingsrechtlich nicht relevant.</w:t>
      </w:r>
    </w:p>
    <w:p>
      <w:r>
        <w:rPr>
          <w:b/>
        </w:rPr>
        <w:t>E. 5.2.1</w:t>
      </w:r>
    </w:p>
    <w:p>
      <w:r>
        <w:t>Im Zusammenhang mit der von der Beschwerdeführerin geltend gemachten Absicht des Vaters, sie gegen ihren Willen zu verheiraten beziehungsweise sie wegen ihrer Weigerung umzubringen, stellt sich sodann die Frage, ob sie in der Türkei seitens der Behörden und Institutionen Schutz erlangen kann oder ob sie auf internationalen Schutz - der lediglich subsidiär zur Anwendung gelangt - angewiesen ist.</w:t>
      </w:r>
    </w:p>
    <w:p>
      <w:r>
        <w:rPr>
          <w:b/>
        </w:rPr>
        <w:t>E. 5.2.2</w:t>
      </w:r>
    </w:p>
    <w:p>
      <w:r>
        <w:t>Wie die Vorinstanz zu Recht festgestellt hat, haben die türkischen Behörden grosse Anstrengungen zur Bekämpfung von häuslicher Gewalt und von Ehrenmorden unternommen und in den vergangenen Jahren bei der faktischen Wahrnehmung frauenspezifischer Schutzanliegen erhebliche Fortschritte erzielen können (vgl. Urteil des Bundesverwaltungsgerichts D-1207/2011 vom 28. Sep­tem­ber 2011 E. 4.2.5, mit weiteren Hinweisen). Zur Vermeidung von Wiederholungen kann auf die entsprechenden Ausführungen in der angefochtenen Verfügung verwiesen werden (vgl. Bst. B.b vorstehend). Ergänzend zu den vorinstanzlichen Erwägungen ist festzuhalten, dass es in Nachachtung der neuen gesetzlichen Bestimmun­gen bereits verschiedentlich zu Verurteilungen von Männern gekommen ist, welche sich eines Ehrverbrechens schuldig gemacht hatten; so wurden beispielsweise im Jahr 2007 durch Gerichte in Istanbul und Diyarbakir lebenslange Freiheitsstrafen wegen Ehrenmord verhängt. Im Oktober 2007 wurde zudem eine von der EU finanziell unterstützte Telefon-Hotline installiert, welche Anrufe von bedrohten Frauen entgegennimmt und die Opfer innerfamiliärer Gewalt an die zuständige Polizeistelle verweist sowie Anwälte und psychologische Fachpersonen vermittelt (vgl. U.S. Department of State, Turkey, Country Report on Human Rights Practices 2007, 11. März 2008). Am 8. März 2012 - dem Internationalen Frauentag - ist in der Türkei sodann ein neues Gesetz zur Verhinderung von Gewalt gegen Frauen verabschie­det wor­den (Gesetz Nr. 6284), welches härtere Strafen für Täter vorsieht und die Rechte der Opfer häuslicher Gewalt erweitert (vgl. Today's Zaman, Dilek Karal, Domestic violence no longer a family matter, 25. März 2012).</w:t>
      </w:r>
    </w:p>
    <w:p>
      <w:r>
        <w:rPr>
          <w:b/>
        </w:rPr>
        <w:t>E. 5.2.3</w:t>
      </w:r>
    </w:p>
    <w:p>
      <w:r>
        <w:t>Nach dem Gesagten ist festzustellen, dass bei den türkischen Behörden in den vergangenen Jahren ein Umdenken in Bezug auf frauenspezifische Schutzanliegen begonnen hat und erste entsprechende Einrichtungen geschaffen wurden; daneben bieten auch verschiedene nicht staatliche Stellen betroffenen Frauen Unterstützung. Auch wenn die Umsetzung der staatlichen Programme nur langsam vorankommt und das Phänomen innerfamiliärer Gewalt bis hin zu Ehrenmorden immer noch verbreitet ist, ist - auch im Hinblick auf die in der Beschwerde zitierten Berichte und Urteile (European Parliament, On a 2020 Perspective for Women in Turkey, 12. April 2012; U.S. Department of State, Turkey, Country Report on Human Rights Practices 2011, 24. Mai 2012; European Commission, Turkey 2012 Progress Report, 10. Oktober 2012; Europäischer Gerichtshof für Menschenrechte [EGMR], Opuz gegen Türkei, Urteil vom 9. Juni 2009; Human Rights Watch, World Report 2013; Amnesty International, Annual Report 2012) - davon auszugehen, dass sich die Beschwerdeführerin in der Türkei nicht in einer ausweglosen Situation befand und sich nach der Rückkehr aufgrund der weiter verbesserten Situation insbesondere auch nicht in einer solchen befinden wird. Sie hat die Möglichkeit, im Falle erneuter Behelligungen durch ihren Vater nach der Rückkehr an die grundsätzlich vorhandene Schutzinfrastruktur zu gelangen. Im vorliegenden Fall kommt hinzu, dass sie sich ihren eigenen Angaben zufolge gar nie an die türkischen Behörden gewandt hat (A 16/25 S. 18), weshalb diesen weder mangelnder Schutzwille noch mangelnde Schutzfähigkeit vorgeworfen werden kann. Die Beschwerdevorbringen vermögen an dieser Einschätzung nichts zu ändern, weshalb es sich erübrigt, weiter darauf einzugehen.</w:t>
      </w:r>
    </w:p>
    <w:p>
      <w:r>
        <w:rPr>
          <w:b/>
        </w:rPr>
        <w:t>E. 5.3</w:t>
      </w:r>
    </w:p>
    <w:p>
      <w:r>
        <w:t>Zusammenfassend ergibt sich, dass die Vorbringen der Beschwerdeführerin den Anforderungen an die Flüchtlingseigenschaft gemäss Art. 3 AsylG nicht standhalten. Das BFM hat ihr Asylgesuch folglich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BVGE 2009/50 E. 9 mit weiteren Hinweisen).</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mit weiteren Hinweisen).</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die Türkei ist demnach unter dem Aspekt von Art. 5 AsylG rechtmässig. Sodann ergeben sich weder aus den Aussagen der Beschwerdeführerin noch aus den Akten Anhaltspunkte dafür, dass sie für den Fall einer Ausschaffung in die Türkei dort mit beachtlicher Wahrscheinlichkeit einer nach Art. 3 EMRK oder Art. 1 FoK verbotenen Strafe oder Behandlung ausgesetzt wäre. Gemäss Praxis des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der Türkei lässt den Wegweisungsvollzug zum heutigen Zeitpunkt nicht als unzulässig erscheinen. Nach dem Gesagten ist der Vollzug der Wegweisung sowohl im Sinne der asyl- als auch der völkerrechtlichen Bestimmungen zulässig. 7.3.1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7.3.2 Der Vollzug der Wegweisung in die Türkei ist mit Ausnahme der beiden Provinzen Hakkari und Sirnak (vgl. BVGE 2013/2 E. 9.6.1) nicht als generell unzumutbar zu bezeichnen. 7.3.3 7.3.3.1 Vorliegend stellt sich die Frage, ob der Wegweisungsvollzug wegen der gesundheitlichen Probleme der Beschwerdeführerin unzumutbar erscheint. Diesbezüglich ist darauf hinzuweisen, dass aufgrund gesundheitlicher Probleme nur dann auf die Unzumutbarkeit des Wegweisungsvollzugs geschlossen werden kann, wenn eine notwendige medizinische Behandlung im Heimatland nicht zur Verfügung steht und die Rückkehr zu einer raschen und lebensgefährlichen Beeinträchtigung des Gesundheitszustandes der betroffenen Person führt. Unzumutbarkeit liegt jedenfalls noch nicht vor, wenn im Heimatstaat eine nicht dem schweizerischen Standard entsprechende medizinische Behandlung möglich ist (vgl. BVGE 2011/50 E. 8.3, mit weiteren Hinweisen). 7.3.3.2 Aus dem ärztlichen Bericht von Dr. med. E._______ vom 22. Ja­nuar 2013 ergibt sich, dass die Beschwerdeführerin an einer posttraumatischen Belastungsstörung (ICD-10 F43.1) und einer mittelschweren Depression (ICD-10 F32.1) leidet. Im ärztlichen Verlaufsbericht vom 21. März 2013 hielt Dr. med. E._______ sodann fest, dass eine Rückkehr in die Türkei zu einer Retraumatisierung führen und den Heilungsprozess verunmöglichen würde. Die Suizidgefahr wäre als sehr gross einzuschätzen. 7.3.3.3 Die Beschwerdeführerin kann bei einer Rückkehr auf die auch in der Türkei bestehende medizinische Infrastruktur zurückgreifen. Gemäss den Erkenntnissen des Bundesverwaltungsgerichts sind landesweit psychiatrische Einrichtungen, ausgebildetes Fachpersonal und eine breite Palette von Psychopharmaka vorhanden (vgl. Urteil des Bundesverwaltungsgerichts D-6891/2011 vom 21. Mai 2013 E. 4.2.2.3), so dass die Beschwerdeführerin ihre psychischen Probleme - auch eine allfällige Retraumatisierung - angemessen behandeln lassen kann. Von Vorteil ist dabei sicherlich, dass sie sich dort gegenüber Therapeuten und Ärzten in ihrer Muttersprache ausdrücken kann. In Bezug auf die Suizidgefahr ist auf die Möglichkeit stabilisierender Massnahmen bei der Rückkehr hinzuweisen. Überdies kann die Beschwerdeführerin bei der Vorinstanz medizinische Rückkehrhilfe beantragen (Art. 93 Abs. 1 Bst. d AsylG i.V.m. Art. 75 der Asylverordnung 2 vom 11. August 1999 über Finanzierungsfragen [AsylV 2, SR 142.312]), womit sie in einer ersten Phase nach ihrer Rückkehr hinsichtlich der Organisation der medizinischen Behandlung nicht vor unüberwindbare Schwierigkeiten gestellt ist. Insgesamt ist nach dem Gesagten nicht davon auszugehen, die gesundheitlichen Probleme der Beschwerdeführerin würden im Falle des Wegweisungsvollzugs mangels ausreichender medizinischer Behandlungsmöglichkeiten eine drastische, andauernde und lebensbedrohende Verschlechterung ihres Gesundheitszustandes nach sich ziehen. 7.3.3.4 Die junge Beschwerdeführerin wird nach ihrer Rückkehr in die Türkei nicht auf sich allein gestellt sein. Sie wird seitens der ihr wohl gesinnten Verwandten (beispielsweise ihr Onkel väterlicherseits mit seiner Familie und ihre Tante mütterlicherseits, bei welcher sie mehrere Wochen wohnte) eine gewisse Unterstützung finden und sich an die zuständigen Behörden beziehungsweise an Nichtregierungsorganisationen wenden können, bei denen sie ebenfalls Beratung und Unterstützung finden wird. Sie bezeichnet das Türkisch als Muttersprache und verfügt über die Voraussetzungen, sich mit Unterstützung mittelfristig eine Existenz aufzubauen. Bloss soziale und wirtschaftliche Schwierigkeiten, von denen die ansässige Bevölkerung im Allgemeinen betroffen ist, begründen im Übrigen keine Gefährdung im Sinne von Art. 83 Abs. 4 AuG (vgl. BVGE 2008/34 E. 11.2.2). 7.3.4 Nach dem Gesagten erweist sich der Vollzug der Wegweisung auch als zumutbar.</w:t>
      </w:r>
    </w:p>
    <w:p>
      <w:r>
        <w:rPr>
          <w:b/>
        </w:rPr>
        <w:t>E. 7.4</w:t>
      </w:r>
    </w:p>
    <w:p>
      <w:r>
        <w:t>Schliesslich obliegt es der Beschwerdeführerin,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7.5</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9.1</w:t>
      </w:r>
    </w:p>
    <w:p>
      <w:r>
        <w:t>Die Beschwerdeführerin beantragt die Gewährung der unentgeltlichen Rechtspflege im Sinne von Art. 65 Abs. 1 VwVG. Danach kann die Beschwerdeinstanz eine bedürftige Partei, deren Begehren nicht aussichtslos erscheinen, auf Gesuch davon befreien, Verfahrenskosten zu bezahlen.</w:t>
      </w:r>
    </w:p>
    <w:p>
      <w:r>
        <w:rPr>
          <w:b/>
        </w:rPr>
        <w:t>E. 9.2</w:t>
      </w:r>
    </w:p>
    <w:p>
      <w:r>
        <w:t>Die Beschwerdeführerin hat weder eine Fürsorgebestätigung noch einen anderen Beleg über ihre finanziellen Verhältnisse zu den Akten gereicht. Damit ist die geltend gemachte prozessuale Bedürftigkeit nicht ausgewiesen, weshalb das Gesuch um Gewährung der unentgeltlichen Rechtspflege abzuweisen ist.</w:t>
      </w:r>
    </w:p>
    <w:p>
      <w:r>
        <w:rPr>
          <w:b/>
        </w:rPr>
        <w:t>E. 9.3</w:t>
      </w:r>
    </w:p>
    <w:p>
      <w:r>
        <w:t>Bei diesem Ausgang des Verfahrens sind dessen Kosten von Fr. 600.- (Art. 1-3 des Reglements vom 21. Februar 2008 über die Kosten und Entschädigungen vor dem Bundesverwaltungsgericht [VGKE, SR 173.320.2]) der Beschwerdeführerin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