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D-154/2023 vom 13. Dezember 2022</w:t>
      </w:r>
    </w:p>
    <w:p>
      <w:r>
        <w:t>Bundesverwaltungsgericht, 2022-12-13, DE</w:t>
      </w:r>
    </w:p>
    <w:p>
      <w:r>
        <w:rPr>
          <w:b/>
        </w:rPr>
        <w:t xml:space="preserve">Quelle: </w:t>
      </w:r>
      <w:r>
        <w:t>https://mcp.opencaselaw.ch/entscheid/bvger_D-154_2023_d20221213</w:t>
      </w:r>
    </w:p>
    <w:p>
      <w:r>
        <w:t>FR: TAF D-154/2023 du 13 décembre 2022</w:t>
      </w:r>
    </w:p>
    <w:p>
      <w:r>
        <w:t>IT: TAF D-154/2023 del 13 dicembre 2022</w:t>
      </w:r>
    </w:p>
    <w:p>
      <w:pPr>
        <w:pStyle w:val="Heading2"/>
      </w:pPr>
      <w:r>
        <w:t>Regeste</w:t>
      </w:r>
    </w:p>
    <w:p>
      <w:r>
        <w:t>Asyl (ohne Wegweisungsvollzug) (Wiedererw&amp;auml;gung) | Asyl (ohne Wegweisungsvollzug) (Wiedererwägung); Verfügung des SEM vom 13.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Nachdem das SEM wiedererwägungsweise eine vorläufige Aufnahme infolge der Unzulässigkeit des Wegweisungsvollzugs verfügte, bildet Ge- genstand des vorliegenden Verfahrens einzig die Frage, ob die Vorinstanz zu Recht das Vorliegen von Wiedererwägungsgründen mit Blick auf die Flüchtlingseigenschaft der Beschwerdeführenden und die Asylgewährung abgelehnt und diesbezüglich an ihrer ursprünglichen Verfügung vom 25. Juni 2018 festgehalten hat.</w:t>
      </w:r>
    </w:p>
    <w:p>
      <w:r>
        <w:rPr>
          <w:b/>
        </w:rPr>
        <w:t>E. 2.3</w:t>
      </w:r>
    </w:p>
    <w:p>
      <w:r>
        <w:t>Die Begründung der Begehren bindet die Beschwerdeinstanz in kei- nem Fall (Art. 62 Abs. 4 VwVG). Nach dem Grundsatz der Rechtsanwen- dung von Amtes wegen ist das Bundesverwaltungsgericht verpflichtet, auf den festgestellten Sachverhalt jenen Rechtssatz anzuwenden, den es als</w:t>
      </w:r>
    </w:p>
    <w:p>
      <w:r>
        <w:t>D-154/2023 Seite 7 den zutreffenden erachtet. Stützt sich dieser Entscheid auf Rechtsnormen, mit deren Anwendung die Parteien nicht rechnen mussten, so ist ihnen Ge- legenheit zu geben, sich hierzu vorgängig zu äussern. Im Rahmen seiner Kognition kann das Gericht daher die Beschwerde auch aus anderen als den geltend gemachten Gründen gutheissen oder den angefochtenen Ent- scheid im Ergebnis mit einer Begründung bestätigen, die von jener der Vor- instanz abweicht (vgl. BVGE 2009/61 E. 6.1; 2007/41 E. 2). Vorliegend er- achtet das Bundesverwaltungsgericht in den folgenden Erwägungen einen anderen Aspekt des Flüchtlingsbegriffs, wie ihn Art. 3 AsylG definiert, als ausschlaggebend, als das SEM in seinem Entscheid vom 25. Juni 2018 (bestätigt im Entscheid des SEM vom 13. Dezember 2022, Dispositivzif- fer 1).</w:t>
      </w:r>
    </w:p>
    <w:p>
      <w:r>
        <w:rPr>
          <w:b/>
        </w:rPr>
        <w:t>E. 3</w:t>
      </w:r>
    </w:p>
    <w:p>
      <w:r>
        <w:t>Gestützt auf Art. 111a Abs. 1 AsylG wurde auf die Durchführung eines Schriftenwechsels verzichtet.</w:t>
      </w:r>
    </w:p>
    <w:p>
      <w:r>
        <w:rPr>
          <w:b/>
        </w:rPr>
        <w:t>E. 4</w:t>
      </w:r>
    </w:p>
    <w:p>
      <w:r>
        <w:t>Das Urteil in vorliegender Sache ergeht mit demselben Spruchgremium ko- ordiniert und zeitgleich wie die Urteile D-161/2023 vom 17. Mai 2023 und D-162/2023 vom 17. Mai 2023; diese konnexen Verfahren betreffen den volljährigen Sohn der Beschwerdeführenden 1 und 2 und ihren ebenfalls volljährigen Neffen.</w:t>
      </w:r>
    </w:p>
    <w:p>
      <w:r>
        <w:rPr>
          <w:b/>
        </w:rPr>
        <w:t>E. 5.1</w:t>
      </w:r>
    </w:p>
    <w:p>
      <w:r>
        <w:t>Das Wiedererwägungsverfahren ist im Asylrecht spezialgesetzlich ge- regelt (vgl. Art. 111b ff. AsylG).</w:t>
      </w:r>
    </w:p>
    <w:p>
      <w:r>
        <w:rPr>
          <w:b/>
        </w:rPr>
        <w:t>E. 5.2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(zum sogenann- ten «qualifizierten Wiedererwägungsgesuch» vgl. BVGE 2013/22 E. 5.4 m.w.H.).</w:t>
      </w:r>
    </w:p>
    <w:p>
      <w:r>
        <w:rPr>
          <w:b/>
        </w:rPr>
        <w:t>E. 5.3</w:t>
      </w:r>
    </w:p>
    <w:p>
      <w:r>
        <w:t>Sowohl neue erhebliche Tatsachen als auch neue erhebliche Beweis- mittel bilden nur dann einen Wiedererwägungsgrund, wenn sie der gesuch-</w:t>
      </w:r>
    </w:p>
    <w:p>
      <w:r>
        <w:t>D-154/2023 Seite 8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5.4</w:t>
      </w:r>
    </w:p>
    <w:p>
      <w:r>
        <w:t>Ausserdem ist das SEM gemäss Rechtsprechung gehalten, neue er- hebliche Tatsachen und Beweismittel, welche im Rahmen eines Beschwer- deverfahrens vor dem CAT beigebracht wurden, im Rahmen eines darauf- folgenden Wiedererwägungsverfahrens oder Mehrfachgesuchs zu prüfen (vgl. dazu bereits EMARK 1998 Nr. 14).</w:t>
      </w:r>
    </w:p>
    <w:p>
      <w:r>
        <w:rPr>
          <w:b/>
        </w:rPr>
        <w:t>E. 6.1</w:t>
      </w:r>
    </w:p>
    <w:p>
      <w:r>
        <w:t>Das Bundesverwaltungsgericht stellt fest, dass die Flüchtlingseigen- schaft gemäss Art. 3 AsylG eine asylsuchende Person nach Lehre und Rechtsprechung dann erfüllt, wenn sie Nachteile von bestimmter Intensität erlitten hat beziehungsweise mit beachtlicher Wahrscheinlichkeit und in ab- sehbarer Zukunft begründeterweise befürchten muss, welche ihr gezielt und aufgrund bestimmter Verfolgungsmotive durch Organe des Heimat- staates oder durch nichtstaatliche Akteure zugefügt worden sind bezie- hungsweise zugefügt zu werden drohen (vgl. BVGE 2008/4 E. 5.2 S. 37).</w:t>
      </w:r>
    </w:p>
    <w:p>
      <w:r>
        <w:rPr>
          <w:b/>
        </w:rPr>
        <w:t>E. 6.2</w:t>
      </w:r>
    </w:p>
    <w:p>
      <w:r>
        <w:t>Die Vorinstanz hat das Vorliegen der Flüchtlingseigenschaft in ihrem Entscheid vom 25. Juni 2018 mit Verweis auf die grundsätzlich vorhandene Schutzwilligkeit und Schutzfähigkeit des kolumbianischen Staats sowie auf die lokal begrenzte Verfolgung der Beschwerdeführenden verneint. Diese Einschätzung ist angesichts des CAT-Entscheids vom 27. Juli 2022 nicht aufrechtzuerhalten, da das CAT feststellte, dem Beschwerdeführer drohe im Fall der Rückkehr nach Kolumbien Folter. Der Ausschuss hielt ferner fest, dass die kolumbianischen Behörden ihn nicht vor weiteren, ihm dro- henden Übergriffen schützen könnten und er deshalb auch in anderen Lan- desteilen Kolumbiens keine verlässliche und effektive interne Fluchtalter- native finden könne (vgl. Entscheid des CAT Nr. 909/2019 E. 7.10 ff.). Den- noch teilt das Bundesverwaltungsgericht in Anwendung von Art. 3 AsylG die Einschätzung der Vorinstanz im Ergebnis – wenn auch mit anderer Be- gründung (vgl. E. 2.2) – aus folgenden Erwägungen:</w:t>
      </w:r>
    </w:p>
    <w:p>
      <w:r>
        <w:t>D-154/2023 Seite 9</w:t>
      </w:r>
    </w:p>
    <w:p>
      <w:r>
        <w:rPr>
          <w:b/>
        </w:rPr>
        <w:t>E. 6.2.1</w:t>
      </w:r>
    </w:p>
    <w:p>
      <w:r>
        <w:t>Auch eine – wie vorliegend geltend gemachte – Furcht vor Verfolgung durch nichtstaatliche Akteure setzt voraus, dass dieser Verfolgung eines der in Art. 3 Abs. 1 AsylG abschliessend aufgelistetes Motiv zugrunde liegt. Gemäss geltender Praxis ist die Erfüllung der Flüchtlingseigenschaft nicht von einer bestimmten Definition eines Verfolgungsmotivs abhängig, be- stimmen doch letztlich die Verfolger allein, wen sie weshalb verfolgen. Aus- schlaggebend ist deshalb vielmehr, ob die Verfolgung wegen äusserer oder innerer Merkmale erfolgt ist beziehungsweise künftig droht, die un- trennbar mit der Person oder Persönlichkeit des Opfers verbunden sind (dazu gehören unter anderem Geschlecht, Abstammung, Herkunft, Zuge- hörigkeit zu einer Volksgruppe, Sprache, Veranlagung, Hautfarbe, Gebre- chen, Glauben, Denken, politische Meinung, Überzeugung, Lebenseinstel- lung). Verfolgung im Sinne des Asylgesetzes und der Flüchtlingskonven- tion erfolgt immer wegen des Seins, nicht wegen des Tuns; zwar kann der Verfolger gleichfalls oder sogar vordergründig hauptsächlich auf Hand- lungsweisen einer Person abzielen; bedeutsam für die Flüchtlingseigen- schaft wird der Eingriff der Verfolger aber nur, wenn diese die hinter einer Handlungsweise steckende Eigenart und Gesinnung der entsprechenden Person treffen wollen (EMARK 2006 Nr. 32 E. 8.7.1 sowie WALTER STÖCKLI, Asyl, in: Uebersax/Rudin/Hugi Yar/Geiser/Vetterli [Hrsg.], Auslän- derrecht, 3. Aufl., Basel 2022, Rz. 14.18 und 14.19).</w:t>
      </w:r>
    </w:p>
    <w:p>
      <w:r>
        <w:rPr>
          <w:b/>
        </w:rPr>
        <w:t>E. 6.2.2</w:t>
      </w:r>
    </w:p>
    <w:p>
      <w:r>
        <w:t>Vorliegend haben die Beschwerdeführenden geltend gemacht, er – der Beschwerdeführer 1 – sei aufgrund seiner Rolle als Menschenrechts- verteidiger und sozialer Anführer in den Fokus der paramilitärischen Orga- nisationen AGC beziehungsweise der «Águilas Negras» geraten; insbe- sondere seine Unterstützung für Opfer von Enteignungen und sein damit zusammenhängendes Engagement im Rahmen von Vindikationsprozes- sen habe ihn zum militärischen Ziel solcher Gruppierungen gemacht.</w:t>
      </w:r>
    </w:p>
    <w:p>
      <w:r>
        <w:rPr>
          <w:b/>
        </w:rPr>
        <w:t>E. 6.2.3</w:t>
      </w:r>
    </w:p>
    <w:p>
      <w:r>
        <w:t>Im Länderkontext Kolumbien ist festzuhalten, dass sich Verfolgungs- handlungen durch paramilitärische Organisationen (etwa GAO [Grupos Ar- mados Organizados], GDO [Grupos Delincuenciales Organizados] oder GAOR [Grupos Armados Organizados Residuales]) regelmässig in ge- meinrechtlichen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im Sinne von Art. 3 AsylG gelten (vgl. Urteile des BVGer D-6441/2019, D-6442/2019, D-6444/2019,</w:t>
      </w:r>
    </w:p>
    <w:p>
      <w:r>
        <w:t>D-154/2023 Seite 10 D-6450/2019 vom 16. Dezember 2019 E. 6.2; E-3683/2019 vom 7. August 2019 E. 3.3; E-3745/2019 vom 7. August 2019 E. 3.1; vgl. dazu auch UN- Hochkommissariat für Flüchtlinge, UNHCR Guidance Note on Refugee Claims Relating to Victims of Organized Gangs, § 45-51 &lt; https://www.refworld.org/docid/4bb21fa02.html &gt;, abgerufen am 16.2.2023).</w:t>
      </w:r>
    </w:p>
    <w:p>
      <w:r>
        <w:rPr>
          <w:b/>
        </w:rPr>
        <w:t>E. 6.2.4</w:t>
      </w:r>
    </w:p>
    <w:p>
      <w:r>
        <w:t>Gemäss konsultierter Quellen hat im Anschluss an die Demobilisie- rung der «Autodefensas Unidas de Colombia» (AUC) eine Entideologisie- rung der daraus entstandenen paramilitärischen Organisationen (auch als «narcoparamilitarismo» oder «Post-AUC» bezeichnet, zu welchen sowohl die AGC wie auch die Águilas Negras zählen) stattgefunden. Demnach treffen die meisten bewaffneten Gruppen die Unterscheidung zwischen Verbündeten und Feinden nicht mehr danach, ob ihnen eine Person oder Personengruppe ideologisch nahesteht, sondern vielmehr danach, ob diese zu einem bestimmten Zeitpunkt mit ihren militärischen oder wirt- schaftlichen Interessen im betreffenden Gebiet übereinstimmt. Der Einfluss der politischen Ideologie hat als Motivationsfaktor zugunsten des Strebens nach illegalen Märkten und Territorien abgenommen. Paramilitärische Or- ganisationen nehmen im Allgemeinen diejenigen Personen oder Perso- nengruppen ins Visier, die sie als Ärgernis oder Hindernis für ihre wirt- schaftlichen Ziele ansehen oder die den Interessen der Gruppe zuwider- laufen. Zivilisten, die als Hindernis für die Kontrolle der illegalen Wirtschaft und des Territoriums angesehen werden, werden aus ihren Häusern ver- trieben, und diejenigen, die sich der Kontrolle oder der Expansion dieser Gruppen widersetzen, wie soziale Führer oder demobilisierte FARC-EP- Kämpfer, werden behelligt und verfolgt. Insgesamt gestaltet sich daher eine strikte Differenzierung zwischen krimineller und politischer Gewalt als schwierig (European Union Agency for Asylum [EUAA], Colombia: Country Focus vom Dezember 2022, &lt; https://www.ecoi.net/en/file/local/2083878/ 2022_12_EUAA_COI_Report_Colombia_Country_focus.pdf &gt;, abgerufen am 16.2.2023).</w:t>
      </w:r>
    </w:p>
    <w:p>
      <w:r>
        <w:rPr>
          <w:b/>
        </w:rPr>
        <w:t>E. 6.2.5</w:t>
      </w:r>
    </w:p>
    <w:p>
      <w:r>
        <w:t>Angesichts der obigen Ausführungen stellt das Gericht fest, dass der Angriff auf den Beschwerdeführer 1 am 21. Dezember 2017 sowie die Er- eignisse vom 30. März 2018 in erster Linie auf das ökonomische und mili- tärische Fortkommen der involvierten paramilitärischen Gruppen – vorlie- gend die Kontrolle von Grund und Boden mitsamt deren Bodenschätzen – zurückzuführen sein dürfte. Insofern ist davon auszugehen, dass die gel- tend gemachten Verfolgungshandlungen nicht wegen innerer Merkmale (des Seins – seiner politischen Überzeugung), sondern aufgrund seiner</w:t>
      </w:r>
    </w:p>
    <w:p>
      <w:r>
        <w:t>D-154/2023 Seite 11 Handlungsweise (des Tuns – der Unterstützung in Vindikationsprozessen) erfolgt sind beziehungsweise zukünftig drohen würden. Darauf deutet in- des auch der Inhalt des eingereichten «Kondolenzbriefs» hin («Por recla- mar tierras que no son suyas, sino de personas de bien, sapos hijueputas, guerilleros agitadores de malandros», «wegen der Rückforderung von Land, das nicht Ihnen gehört, sondern den gehorsamen, verräterischen Hurensöhnen, unruhestiftenden Gauner-Guerilleros»). Insofern knüpfen die erfolgten Verfolgungshandlungen nicht an ein in Art. 3 AsylG abschlies- send aufgelistetes Motiv an; es handelt sich dabei vielmehr um gemein- rechtliche Delikte.</w:t>
      </w:r>
    </w:p>
    <w:p>
      <w:r>
        <w:rPr>
          <w:b/>
        </w:rPr>
        <w:t>E. 6.2.6</w:t>
      </w:r>
    </w:p>
    <w:p>
      <w:r>
        <w:t>Das Gericht stellt fest, dass der Entscheid des CAT nicht geeignet ist, die diesbezügliche Einschätzung zu erschüttern, zumal dies auch nicht geltend gemacht wird.</w:t>
      </w:r>
    </w:p>
    <w:p>
      <w:r>
        <w:rPr>
          <w:b/>
        </w:rPr>
        <w:t>E. 6.2.7</w:t>
      </w:r>
    </w:p>
    <w:p>
      <w:r>
        <w:t>Auch das Vorbringen der Beschwerdeführenden, einzig die Asylge- währung vermöge sie effektiv vor Folter zu schützen, führt zu keiner ande- ren Einschätzung. Die Schweiz ist als Vertragsstaat der FoK zwar verpflich- tet, aufgrund des CAT-Entscheids auf eine Ausschaffung der Beschwerde- führenden nach Kolumbien zu verzichten. Das SEM ist dieser Verpflichtung jedoch in geeigneter Weise nachgekommen, indem es die Beschwerdefüh- renden wegen der vom CAT festgestellten Unzulässigkeit des Wegwei- sungsvollzugs vorläufig aufnahm.</w:t>
      </w:r>
    </w:p>
    <w:p>
      <w:r>
        <w:rPr>
          <w:b/>
        </w:rPr>
        <w:t>E. 6.2.8</w:t>
      </w:r>
    </w:p>
    <w:p>
      <w:r>
        <w:t>Ferner bleibt festzuhalten, dass auch nicht ersichtlich ist, inwiefern die Vorinstanz gegen das Gleichheitsgebot gemäss Art. 8 BV verstossen haben soll, zumal die Beschwerdeführenden nicht dargelegt haben, in Be- zug auf welchen Sachverhalt und welche Personengruppe sie sich in einer vergleichbaren Situation befinden würden. Auch die Rügen betreffend eine Verletzung des Rechts auf ein faires Verfahren, Bildung, Arbeit, Arbeitsan- gebote, Kleidung, eine menschenwürdige Unterkunft und Nothilfe bilden – soweit diese Rechte in der schweizerischen Rechtsordnung anerkannt sind – keinen zulässigen Wiedererwägungsgrund.</w:t>
      </w:r>
    </w:p>
    <w:p>
      <w:r>
        <w:rPr>
          <w:b/>
        </w:rPr>
        <w:t>E. 6.2.9</w:t>
      </w:r>
    </w:p>
    <w:p>
      <w:r>
        <w:t>Schliesslich stellt das Gericht fest, dass auch trotz des in der ange- fochtenen Verfügung fälschlicherweise auf den 16. Januar 2019 datierten Einreisedatums die Rechtskraft der Verfügung nicht zu beanstanden ist, da auch dieses Vorbringen nicht geeignet ist, die beurteilten Asylvorbringen in einem anderen Licht erscheinen zu lassen.</w:t>
      </w:r>
    </w:p>
    <w:p>
      <w:r>
        <w:t>D-154/2023 Seite 12</w:t>
      </w:r>
    </w:p>
    <w:p>
      <w:r>
        <w:rPr>
          <w:b/>
        </w:rPr>
        <w:t>E. 6.3</w:t>
      </w:r>
    </w:p>
    <w:p>
      <w:r>
        <w:t>Nach dem Gesagten ergibt sich, dass das SEM in seiner Wiedererwä- gung zu Recht festgestellt hat, dass das CAT-Verfahren zu keiner anderen Einschätzung betreffend die Feststellung der Flüchtlingseigenschaft und der Asylgewährung führe. Demnach ist es den Beschwerdeführenden nicht gelungen, wiedererwägungsrechtlich erhebliche Tatsachen oder Beweis- 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den Beschwerdeführenden aufzuerlegen (Art. 63 Abs. 1 VwVG). Da die Be- schwerdevorbringen jedoch nicht von vornherein aussichtslos waren, ist der Antrag auf Gewährung der unentgeltlichen Prozessführung gutzuheis- sen (Art. 65 Abs. 1 VwVG). Der Antrag auf Verzicht auf die Erhebung eines Kostenvorschusses wird mit dem vorliegenden Urteil gegenstandslos. (Dispositiv nächste Seite)</w:t>
      </w:r>
    </w:p>
    <w:p>
      <w:r>
        <w:t>D-154/2023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