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D-1538/2011 vom 23. März 2011</w:t>
      </w:r>
    </w:p>
    <w:p>
      <w:r>
        <w:t>Bundesverwaltungsgericht, 2011-03-23, DE</w:t>
      </w:r>
    </w:p>
    <w:p>
      <w:r>
        <w:rPr>
          <w:b/>
        </w:rPr>
        <w:t xml:space="preserve">Quelle: </w:t>
      </w:r>
      <w:r>
        <w:t>https://mcp.opencaselaw.ch/entscheid/bvger_D-1538_2011</w:t>
      </w:r>
    </w:p>
    <w:p>
      <w:r>
        <w:t>FR: TAF D-1538/2011 du 23 mars 2011</w:t>
      </w:r>
    </w:p>
    <w:p>
      <w:r>
        <w:t>IT: TAF D-1538/2011 del 23 marzo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c Ziff. 1 und Bst. d Ziff. 1 des Bundesgerichtsgesetzes vom 17. Juni 2005 [BGG, SR 173.110]).</w:t>
      </w:r>
    </w:p>
    <w:p>
      <w:r>
        <w:rPr>
          <w:b/>
        </w:rPr>
        <w:t>E. 1.2</w:t>
      </w:r>
    </w:p>
    <w:p>
      <w:r>
        <w:t>Die Beschwerde ist nicht in einer der Amtssprachen des Bundes abgefasst (vgl. Art. 70 Abs. 1 der Bundesverfassung der Schweizerischen Eidgenossenschaft vom 18. April 1999 [BV, SR 101] und Art. 33a Abs. 1 VwVG).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 vom sprachlichen Mangel abgesehen - formgerecht eingereichte Beschwerde ist somit einzutreten (Art. 108 Abs. 1 AsylG sowie Art. 105 AsylG i. V. m. Art. 37 VGG und Art. 48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von der Durchführung des Schriftenwechsels abgesehen.</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dazu zumindest schriftlich zu äussern (vgl. Urteil des Bundesverwaltungsgerichts [BVGE] 2007/30).</w:t>
      </w:r>
    </w:p>
    <w:p>
      <w:r>
        <w:rPr>
          <w:b/>
        </w:rPr>
        <w:t>E. 4.2</w:t>
      </w:r>
    </w:p>
    <w:p>
      <w:r>
        <w:t>Vorliegend wurde die Beschwerdeführerin von der schweizerischen Vertretung in Colombo nicht zu ihrem Asylgesuch befragt. Sie hat ihre Vorbringen jedoch bereits in ihrem Asylgesuch und dessen Ergänzung vom 21. Juni 2010 schriftlich dargelegt und dokumentiert. Ausserdem wurde ihr danach mit Schreiben des BFM vom 11. Oktober 2010 das rechtliche Gehör im Hinblick auf den Verzicht auf eine Anhörung und die in Erwägung gezogene Abweisung des Asylgesuchs gewährt. Sie hat von ihrem diesbezüglichen Recht auf Stellungnahme in der Folge Gebrauch gemacht. Wie das BFM in der angefochtenen Verfügung zu Recht ausführt, erscheint der entscheidwesentliche Sachverhalt angesichts der schriftlichen Darlegung und Dokumentierung der Asylgründe und der von der Beschwerdeführerin am 15. November 2010 abgegebenen Stellungnahme rechtsgenüglich erstellt. Das BFM hat den verfahrensrechtlichen Anforderungen damit Genüge getan.</w:t>
      </w:r>
    </w:p>
    <w:p>
      <w:r>
        <w:rPr>
          <w:b/>
        </w:rPr>
        <w:t>E. 5.1</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die angesichts bloss redaktioneller Änderungen bei der letzten Totalrevision des Asylgesetzes nach wie vor Gültigkeit hat).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 In Anbe­tracht dessen, dass die Einreise nicht bewilligt werden kann.</w:t>
      </w:r>
    </w:p>
    <w:p>
      <w:r>
        <w:rPr>
          <w:b/>
        </w:rPr>
        <w:t>E. 6.1</w:t>
      </w:r>
    </w:p>
    <w:p>
      <w:r>
        <w:t>Das BFM führte zur Begründung seiner Verfügung im Wesentlichen aus, die Gewährung der Einreise in die Schweiz setze nach schweizerischer Asylpraxis eine aktuelle Gefährdung beziehungsweise konkrete Hinweise auf eine zukünftige Verfolgung voraus. Die Beschwerdeführerin habe geltend gemachte, ihre Tochter, ihr Bruder und andere Verwandte im Krieg verloren zu haben. Zudem habe sie angegeben, ihr Sohn und sie selber seien verletzt worden, wobei sie zwei Mal getroffen worden sei. Seit 2009 habe sie jedoch keine schwerwiegenden Probleme mehr gehabt. So gravierend jene Tatsachen auch seien, würden sie die Einreise in die Schweiz nicht rechtfertigen, zumal die Einreisebewilligung in erster Linie dem präventiven Schutz vor Verfolgung und nicht der Kompensation von früher erlittenem Unrecht diene. Im Übrigen würden nur Gründe eine Einreise in die Schweiz rechtfertigen, welche das Leben gefährden würden oder die körperliche und psychische Integrität oder die Freiheit beeinträchtigten, und von einer solchen Intensität seien, dass es der asylsuchenden Person unmöglich sei, ein würdiges oder zumindest erträgliches Leben im Verfolgerstaat zu führen und das einzige Mittel, die Flucht ins Ausland darstelle. In dieser Hinsicht scheine die Befragung, welcher sich die Beschwerdeführerin habe unterziehen müssen, nicht mit der erforderlichen Intensität versehen gewesen zu sein. Schliesslich gingen aus ihren Vorbringen keine Hinweise hervor, dass sie in ihrem Heimatstaat aktuellen schwerwiegenden Benachteiligungen ausgesetzt wäre. Zusammenfassend sei festzustellen, dass die Beschwerdeführerin keinen Schutz im Sinne von Art. 3 AsylG benötige, weshalb ihr Asylgesuch abgelehnt und die Einreise in die Schweiz verweigert werde.</w:t>
      </w:r>
    </w:p>
    <w:p>
      <w:r>
        <w:rPr>
          <w:b/>
        </w:rPr>
        <w:t>E. 6.2</w:t>
      </w:r>
    </w:p>
    <w:p>
      <w:r>
        <w:t>In der Beschwerde werden vorwiegend nochmals die bereits geltend gemachten Ereignisse erwähnt. In Ergänzung dazu führt die Beschwerdeführerin aus, dass sie nach der Granatenexplosion in einem Militärcamp getrennt von ihrem Sohn befragt worden sei. Auch in Y.______, wo sie sich niedergelassen hätten, seien sie mehrmals für Befragungen aufgeboten worden, wovor sie sich gefürchtet hätten. Ihr Sohn leide deswegen an psychischen Problemen.</w:t>
      </w:r>
    </w:p>
    <w:p>
      <w:r>
        <w:rPr>
          <w:b/>
        </w:rPr>
        <w:t>E. 7.1</w:t>
      </w:r>
    </w:p>
    <w:p>
      <w:r>
        <w:t>Nach Prüfung der Akten gelangt das Bundesverwaltungsgericht zum Schluss, dass die Vorinstanz zutreffend festgestellt hat, dass keine hinreichenden Anhaltspunkte dafür bestehen, dass der Beschwerdeführerin mit erheblicher Wahrscheinlichkeit in Zukunft asylbeachtliche Verfolgungsmassnahmen des sri-lankischen Staates drohen. Zwar kann grundsätzlich nicht ausgeschlossen werden, dass die Beschwerdeführerin und ihr Sohn in einem Militärcamp über allfällig vorhandende Verbindungen mit der LTTE befragt worden sind. Diese Massnahmen dienten indessen - wie deren nachträgliche Freilassung belegt - primär dazu, allfällige Verdachtsmomente zu erhärten beziehungsweise zu entkräften. Ihre Entlassung aus dem Militärcamp, weist darauf hin, dass die sri-lankischen Behörden damals in der Beschwerdeführerin wegen ihrem einjährigen Engagement für die LTTE in den Jahren 1990 bis 1991, keine Gefahr mehr sahen. Darüber hinaus ist nicht ersichtlich, welche anderweitigen asylrelevanten Gründe die sri-lankischen Behörden nach der Entlassung der Beschwerdeführerin aus dem Militärcamp noch haben könnten. Insofern die Beschwerdeführerin geltend macht, sie sei unter der Bedingung freigelassen worden, sich bei allfällige Fragen den Behörden zur Verfügung zu stellen und sei an ihrem jetzigen Wohnort Y._______ mehrmals für Befragungen aufgeboten worden, ist festzustellen, dass diesen behördlichen Massnahmen mangels Intensität kein Verfolgungscharakter im Sinne von Art. 3 AsylG zukommt.</w:t>
      </w:r>
    </w:p>
    <w:p>
      <w:r>
        <w:rPr>
          <w:b/>
        </w:rPr>
        <w:t>E. 7.2</w:t>
      </w:r>
    </w:p>
    <w:p>
      <w:r>
        <w:t>Ferner macht die Beschwerdeführerin geltend, ihr Sohn leide an psychischen Problemen und reicht hierzu eine Kopie eines Arztberichtes ein, der bestätigt, dass ihr damals zehnjähriger Sohn bei einer Explosion einer Granate verletzt wurde und an einer posttraumatischen Belastungsstörung leide. Dies wird in Anbetracht dessen, dass nach Angaben der Vereinten Nationen Kinder durch mehrfach erzwungene Vertreibungen, die Nähe zu den Kampfhandlungen und die allgemeine Unsicherheit schwere Traumatisierungen erlitten (vgl. Schweizerische Flüchtlingshilfe [SFH], Rainer Mattern, Sri Lanka: Aktuelle Situation Update vom 1. Dezember 2010, S. 18), nicht bezweifelt. Allerdings vermag dies keinen asylrechtlich relevanten Nachteil zu begründen, wie auch nicht die bedauerlichen Verluste der Familienangehörigen oder der Verlust des linken Beines der Beschwerdeführerin infolge des inzwischen beendeten Bürgerkriegs.</w:t>
      </w:r>
    </w:p>
    <w:p>
      <w:r>
        <w:rPr>
          <w:b/>
        </w:rPr>
        <w:t>E. 7.3</w:t>
      </w:r>
    </w:p>
    <w:p>
      <w:r>
        <w:t>Zusammenfassend ist festzustellen, dass es der Beschwerdeführerin nicht gelungen ist, eine aktuelle Gefährdung aus asylrelevanten Motiven aufzuzeigen, die die Bewilligung der Einreise in die Schweiz rechtfertigen würden. Die Schutzbedürftigkeit im Sinne von Art. 20 AsylG i. V. m. Art. 3 AsylG ist im gegenwärtigen Zeitpunkt als nicht gegeben zu qualifizieren. Das BFM hat demnach der Beschwerdeführerin zu Recht die Einreise in die Schweiz verweigert und deren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dessen Kosten grundsätzlich der Beschwerdeführerin aufzuerlegen (Art. 63 Abs. 1 VwVG). Aus verwaltungsökonomischen Gründen ist indessen in Anwendung von Art. 6 Bst. b des Reglements vom 21. Februar 2008 über die Kosten und Entschädigungen vor dem Bundesverwaltungsgericht (VGKE, SR 173.320.2)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