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D-1532/2012 vom 23. März 2012</w:t>
      </w:r>
    </w:p>
    <w:p>
      <w:r>
        <w:t>Bundesverwaltungsgericht, 2012-03-23, DE</w:t>
      </w:r>
    </w:p>
    <w:p>
      <w:r>
        <w:rPr>
          <w:b/>
        </w:rPr>
        <w:t xml:space="preserve">Quelle: </w:t>
      </w:r>
      <w:r>
        <w:t>https://mcp.opencaselaw.ch/entscheid/bvger_D-1532_2012</w:t>
      </w:r>
    </w:p>
    <w:p>
      <w:r>
        <w:t>FR: TAF D-1532/2012 du 23 mars 2012</w:t>
      </w:r>
    </w:p>
    <w:p>
      <w:r>
        <w:t>IT: TAF D-1532/2012 del 23 marzo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4</w:t>
      </w:r>
    </w:p>
    <w:p>
      <w:r>
        <w:t>Der Beschwerdeführer ficht das Nichteintreten auf sein Asylgesuch nicht an. Die Ziffer 1 der vorinstanzlichen Verfügung ist somit unangefochten in Rechts­kraft erwachsen. Hingegen macht er im Zusammenhang mit Art. 8 EMRK einen Anspruch auf eine Aufenthaltsbewilligung geltend. Damit ist nebst dem Vollzug grundsätzlich auch die Wegweisung als solche zu über­prüfen.</w:t>
      </w:r>
    </w:p>
    <w:p>
      <w:r>
        <w:rPr>
          <w:b/>
        </w:rPr>
        <w:t>E. 5.1</w:t>
      </w:r>
    </w:p>
    <w:p>
      <w:r>
        <w:t>Lehnt das Bundesamt ein Asylgesuch ab oder tritt es darauf nicht ein, so verfügt es in der Regel die Wegweisung aus der Schweiz und ordnet den Vollzug an; dabei ist der Grundsatz der Einheit der Familie zu berück­sichtigen (Art. 44 Abs. 1 AsylG). Der Beschwerdeführer verfügt über keine ausländerrechtliche Aufenthaltsbewilligung; er macht allerdings gestützt auf Art. 8 EMRK einen Anspruch auf Erteilung einer solchen geltend.</w:t>
      </w:r>
    </w:p>
    <w:p>
      <w:r>
        <w:rPr>
          <w:b/>
        </w:rPr>
        <w:t>E. 5.2</w:t>
      </w:r>
    </w:p>
    <w:p>
      <w:r>
        <w:t>Das Bundesgericht anerkennt in seiner mit BGE 109 Ib 183 ff. eingelei­teten und seither bestätigten Rechtsprechung (siehe aktuell in BGE 135 I 143 sowie BGE 130 II 281, mit weiteren Hinweisen), dass Art. 8 EMRK unter gewissen Voraussetzungen einem Ausländer einen - nur un­ter den Voraussetzungen von Art. 8 Abs. 2 EMRK beschränkbaren - An­spruch auf eine Anwesenheitsberechtigung in der Schweiz verleiht. So kann es die aus Art. 8 EMRK fliessenden Garantien verletzen, wenn ei­nem Ausländer, dessen Angehörige - mit denen eine Ehe oder ein Eltern­verhältnis (auch zwischen dem Kind und dem Elternteil, der die elterliche Gewalt und Obhut nicht besitzt) tatsächlich gelebt wird und intakt er­scheint - über ein gefestigtes Anwesenheitsrecht - die schweizerische Staatsangehörigkeit, die Niederlassungsbewilligung oder eine Aufenthalts­bewilligung, die ihrerseits auf einem gefestigten Rechtsan­spruch be­ruht - in der Schweiz verfügen, die Anwesenheit untersagt und damit das Familienleben vereitelt wird (vgl. dazu BGE 130 II 281 E. 3.1 S. 285 f., mit weiteren Hinweisen). In personeller Hinsicht umfasst der Beg­riff der Familie im Sinne von Art. 8 EMRK nicht nur die Mitglieder der "Kern­familie" (Ehepartner und minderjährige Kinder), sondern auch an­dere nahe Verwandte, die in einer Familie eine wesentliche Rolle spielen können. Gemäss Rechtsprechung der ARK, welche vom Bundesverwal­tungsgericht weitergeführt wird, sind sodann Konkubinatspartner den Ehe­gatten gleichgestellt (vgl. BVGE 2008/47 E. 4.1. S. 677 ff., mit Hinwei­sen).</w:t>
      </w:r>
    </w:p>
    <w:p>
      <w:r>
        <w:rPr>
          <w:b/>
        </w:rPr>
        <w:t>E. 5.3</w:t>
      </w:r>
    </w:p>
    <w:p>
      <w:r>
        <w:t>Die Lebensgefährtin und die gemeinsamen Kinder des Beschwerdefüh­rers verfügen gemäss Aktenlage lediglich über eine aus dem Asylrecht abgeleitete vorläufige Aufnahme und mithin über kein gefestigtes Anwesenheitsrecht, auf dessen Verlängerung ein Anspruch besteht. Entsprechend kann der Beschwerdeführer unbesehen seiner familiären Situation für sich aus Art. 8 EMRK kein Aufenthaltsrecht ableiten (vgl. BGE 130 II 281 ff.). Zu verweisen wäre wohl vorliegend aber ohnehin auch auf Art. 8 Abs. 2 EMRK im Sinne der nachfolgenden Erwägungen.</w:t>
      </w:r>
    </w:p>
    <w:p>
      <w:r>
        <w:rPr>
          <w:b/>
        </w:rPr>
        <w:t>E. 5.4</w:t>
      </w:r>
    </w:p>
    <w:p>
      <w:r>
        <w:t>Die vom BFM angeordnete Wegweisung als solche ist demnach zu bestätigen.</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6.1.1</w:t>
      </w:r>
    </w:p>
    <w:p>
      <w:r>
        <w:t>Gemäss Art. 83 Abs. 7 AuG wird die vorläufige Aufnahme nach Art. 83 Abs. 2 und 4 AuG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6.1.2</w:t>
      </w:r>
    </w:p>
    <w:p>
      <w:r>
        <w:t>Gemäss den Erwägungen des Bundesverwaltungsgerichts im ers­ten Asylverfahren des Beschwerdeführers wurde dieser unbestrittenermas­sen wegen versuchten Mordes rechtskräftig zu einer 7-jährigen Haftstrafe verurteilt. Er war vom (...) bis (...) in der D._______ inhaftiert, bevor er zwangsweise in den Kosovo ausgeschafft wurde. Zudem war der Beschwerdeführer auch nach seiner Ankunft in der Schweiz deliktisch tätig. So wurde er insbeson­dere wegen Diebstahls, mehrfacher Drohung sowie mehrfacher Tätlich­keit rechtskräftig verurteilt. Überdies widersetzte sich der Beschwerde­füh­rer auch behördlichen Anordnungen, indem er es beispielsweise pflichtwid­rig versäumte, die ihm mit Strafverfügung vom (...) auf­erlegte Busse zu bezahlen, so dass diese mit Bussenumwandlungsent­scheid vom (...) in Haft umgewandelt wurde. Durch dieses Verhalten hat der Be­schwerdeführer die Aus­schlusstat­bestände von Art. 83 Abs. 7 Bstn. a und b AuG erfüllt, nach wel­chen die Unmöglichkeit und die Unzumut­barkeit des Weg­weisungsvoll­zugs nach Art. 83 Abs. 2 und 4 AuG nicht zur vorläufigen Aufnahme berech­tigen beziehungsweise die ent­sprechenden Prüfungsschritte entfal­len.</w:t>
      </w:r>
    </w:p>
    <w:p>
      <w:r>
        <w:rPr>
          <w:b/>
        </w:rPr>
        <w:t>E. 6.1.3</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Marc Spescha/Hanspeter Thür/Andreas Zünd/Peter Bolzli, Migrations­recht, Zürich 2008, N 23 zu Art. 83 AuG; Walter Stöckli, Asyl, in: Uebersax/ Rudin/Hugi/Yar/Geiser [Hrsg.], Ausländerrecht, 2. Aufl., Ba­sel 2009, Rz. 11.70; zur Interessen­abwägung bei der Aufhebung einer vor­läufigen Aufnahme nach altem Recht siehe Entscheidungen und Mittei­lungen der Schweizerischen Asylrekurskommis­sion [EMARK] 2006 Nr. 11 E. 7.2 und 7.3 sowie EMARK 2006 Nr. 23 E. 8.1 - 8.4). Anderer­seits darf es gerade nicht darauf hinauslaufen, dass im Rahmen der Interes­senabwägung letzt­lich trotzdem eine vollständige Zumutbar­keitsprü­fung vorgenommen wird.</w:t>
      </w:r>
    </w:p>
    <w:p>
      <w:r>
        <w:rPr>
          <w:b/>
        </w:rPr>
        <w:t>E. 6.1.4</w:t>
      </w:r>
    </w:p>
    <w:p>
      <w:r>
        <w:t>Im Sinne des Urteils vom 7. Oktober 2010, das im Übrigen vor nur etwas mehr als einem Jahr vor Stellung des neuen Asylgesuches ergangen ist, ist darauf hinzuweisen, dass die Schweiz im vorliegenden Fall ein erhebliches Interesse am Voll­zug der Wegweisung hat, zumal der Beschwerdeführer seit seiner An­kunft in der Schweiz im März 2005 gemäss Aktenlage immer wieder delin­quierte und sich behördlichen Anordnungen widersetzte. Zudem wurde der Be­schwerdeführer H._______ wegen versuchten Mordes (...) verurteilt. Damit ist erwiesen, dass der Beschwerdeführer über beträchtliche kriminelle Ener­gie verfügt. Im Jahre 2008 wurde der Beschwerdeführer sodann auch in der Schweiz wegen Tätlichkeit und Drohung verurteilt. Der Beschwerdeführer habe gegen (...) Morddrohungen ausgesprochen, diese mit einem Küchenmesser bedroht und mit einem Gurt gewürgt. Mit seinem deliktischen Verhalten gefährdete beziehungs­weise beeinträchtigte er die physische und psychische Integri­tät von Menschen, mithin besonders wertvolle Rechtsgüter. Keinen weite­ren Personen vergleichbare Bedrohungssituationen zuzumuten und die Ge­fahr psychischer Langzeitschäden am Ausgangspunkt einzudämmen, liegt fraglos im Interesse der Allgemeinheit. Den Versuchen in der Beschwerde, die Straftaten zu relativieren, indem ausgeführt wird, der Beschwerdeführer sei im Zeitpunkt der Straftaten sehr jung gewesen und habe sich durch den Strafvollzug und durch die Vaterschaft vollkommen verändert, kann in dieser Form nicht gefolgt werden, zumal er auch nach dem Strafvollzug im Jahre 2008 erneut straffällig geworden ist und schon bei seiner ersten Tat in H._______ Vater war. Durch sein bis­heriges Geba­ren hat der Beschwerdeführer vielmehr gezeigt, dass er eine er­hebliche Gefahr für die öffentliche Sicherheit und Ordnung in der Schweiz darstellt. Das öffentli­che Interesse am Wegweisungsvollzug erschöpft sich vorliegend im Übrigen nicht darin, zukünftige Verletzungen der öffentlichen Sicher­heit und Ordnung durch den Beschwerdeführer zu vermeiden. Vielmehr geht es über den Einzelfall hinaus auch darum, dem Recht der Allgemein­heit zur Geltung zu verhelfen, indem gegen Verhaltensweisen, welche die Gemeinschaft in Gefahr bringen, wirkungsvolle Massnahmen ergriffen und konsequent durchgesetzt werden (vgl. BVGE 2007/32 E. 3.7.3 S. 391).</w:t>
      </w:r>
    </w:p>
    <w:p>
      <w:r>
        <w:rPr>
          <w:b/>
        </w:rPr>
        <w:t>E. 6.1.5</w:t>
      </w:r>
    </w:p>
    <w:p>
      <w:r>
        <w:t>Der Beschwerdeführer macht geltend, er habe gewichtige persönliche Interessen, in der Schweiz verbleiben zu können. Diesbezüglich ist festzustellen, dass er sich erst seit April 2010 wieder in der Schweiz aufhält. Zudem ist aus den Akten nicht ersichtlich, dass er sich hier beruflich in erheblichem Ausmass integriert hätte. So lässt sich dem "Zentralen Migrationsinformati­onssystem" des BFM (ZEMIS, vgl. ZEMIS-Verordnung vom 12. April 2006 [SR 142.513]) entnehmen, dass er in der Schweiz bis­her keiner legalen Erwerbstätigkeit nachgegangen ist. Es fehlt somit an An­halts­punkten dafür, dass er während seines neuen und des vorherigen Aufenthalts in der Schweiz eine dermassen starke Verbindung zu seinem Gastland eingegangen ist, dass der Ausschluss von der vorläufigen Auf­nahme beziehungsweise der Vollzug der Wegweisung deswegen unan­ge­messen erschiene. Der Beschwerdeführer macht sodann geltend, in der Schweiz eine Partnerin zu haben. Ihre beiden gemeinsamen Kinder seien von ihm anerkannt wor­den. Diese Sachverhaltselemente sind an sich nicht bestritten. Auch mag zutreffen, dass er im Sinne des eingereichten Sozialberichts eine ge­wisse Stütze seiner Partnerin und der Kinder ist. Diesbezüglich ist jedoch zu bemerken, dass es der Beschwerdeführer im vorgängigen Asylverfahren unterlassen hat, diese angeblich eheähnliche Beziehung und das erste gemeinsame Kind zu erwähnen, obwohl dieses im Zeitpunkt des Entscheides des Bundesverwaltungsgerichts bereits auf der Welt war und die Freundin mit dem 2. Kind schwanger gewesen sein musste. Dass sich also seit Abschluss des ersten Asylverfahrens im Oktober 2010 die Sachlage wesentlich verändert hat, trifft nur sehr bedingt zu. Daran vermag auch nichts zu ändern, dass es unterlassen wurde, die entsprechenden Umstände im ersten Asylverfahren vorzubringen, kann es doch nicht angehen, dass Asylsuchende durch die Stellung eines neuen Asylgesuches eine neue Würdigung des Sachverhaltes erwirken können, nachdem sie es versäumt haben, neue Tatsachen rechtzeitig vorzubringen. Die familiäre Situation vermag aber auch im Übrigen das hohe öffentliche Interesse am Vollzug der Wegweisung nicht aufzuwiegen, zumal es dem Beschwerdeführer zuzumuten ist, den Kontakt auch aus dem Ausland zu pflegen. Trotz sei­nes langjährigen Auf­enthalts in H._______ dürfte der Beschwerdefüh­rer zudem - wie im Urteil (...) vom 7. Oktober 2010 festgehal­ten - aufgrund seines familiären Umfeldes mit den Sitten und Gebräu­chen in Kosovo vertraut sein, was eine Reintegration in seinem Heimat­land erleichtern wird. Schliesslich ist auch nicht von seiner Zugehörigkeit zur Minderheit der Roma auf eine besonders aus­geprägte Rückkehrgefähr­dung zu schliessen. Eine solche ergibt sich auch nicht aus der Anhörung vom 8. März 2012. Somit sind ent­gegen den Beschwerde­vorbringen insgesamt keine genügenden An­haltspunkte dafür ersichtlich, dass dem Be­schwerdeführer im Falle des Vollzugs der Wegwei­sung Nachteile in einem Ausmass und einer Schwere drohten, die sein Interesse an einem Weiterverbleib in der Schweiz trotz des gewichti­gen gegen­läufigen Interesses der Allgemeinheit als überwiegend erschei­nen liessen.</w:t>
      </w:r>
    </w:p>
    <w:p>
      <w:r>
        <w:rPr>
          <w:b/>
        </w:rPr>
        <w:t>E. 6.1.6</w:t>
      </w:r>
    </w:p>
    <w:p>
      <w:r>
        <w:t>Damit ergibt sich, dass gestützt auf Art. 83 Abs. 7 Bstn. a und b AuG die Gewährung der vorläufigen Aufnahme wegen Un­zumutbarkeit oder Unmöglichkeit des Wegweisungsvollzugs von vorn­herein nicht in Be­tracht kommt. Demnach ist nicht weiter zu prüfen, ob Gründe bestehen, die den Vollzug der Wegweisung als unzumutbar im Sinne von Art. 83 Abs. 4 AuG oder unmöglich im Sinne von Art. 83 Abs. 2 AuG erscheinen las­sen. Auch ein Einbezug in die vorläufige Aufnahme seiner Freundin beziehungsweise seiner Kinder im Sinne von Art. 44 Abs. 1 AsylG kommt damit offensichtlich nicht in Betracht.</w:t>
      </w:r>
    </w:p>
    <w:p>
      <w:r>
        <w:rPr>
          <w:b/>
        </w:rPr>
        <w:t>E. 6.2.1</w:t>
      </w:r>
    </w:p>
    <w:p>
      <w:r>
        <w:t>Zum Kriterium der Zulässigkeit (Art. 83 Abs. 3 AuG)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die Anwendung dieser Be­stimmungen von vornherein nicht in Be­tracht, da die Verfügung des BFM vom 12. März 2012 bezüglich Nichteintre­ten und damit der Verneinung der Flüchtlings­eigenschaft des Be­schwerdeführers in Rechtskraft erwachsen ist.</w:t>
      </w:r>
    </w:p>
    <w:p>
      <w:r>
        <w:rPr>
          <w:b/>
        </w:rPr>
        <w:t>E. 6.2.2</w:t>
      </w:r>
    </w:p>
    <w:p>
      <w:r>
        <w:t>Gemäss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wie ein de­liktisches Verhalten der sich dar­auf berufenden Person und/oder das Gebot der Verhältnismässigkeit eine Güterabwägung nahelegen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w:t>
      </w:r>
    </w:p>
    <w:p>
      <w:r>
        <w:rPr>
          <w:b/>
        </w:rPr>
        <w:t>E. 6.2.3</w:t>
      </w:r>
    </w:p>
    <w:p>
      <w:r>
        <w:t>Im vorliegenden Fall lassen sich auch aktuell insgesamt keine ernsthaften Gründe für die Annahme finden, dass der Beschwerdeführer für den Fall einer Rückschiebung in den Heimatstaat daselbst mit beachtlicher Wahr­scheinlichkeit einer nach Art. 3 EMRK verbotenen Strafe oder Be­hand­lung ausgesetzt wäre. Allein aus der all­gemeinen Menschen­rechtssitua­tion in Kosovo lässt sich kein reales Risiko von solchen Beeinträchtigun­gen herleiten. Selbst das Vorliegen einer allgemein schlechten Men­schenrechtslage genügt nämlich noch nicht für die Annahme einer dro­henden Verletzung von Art. 3 EMRK (vgl. EMARK 2001 Nr. 16 E. 6a S. 122, mit zahlreichen Hinweisen). Andere völker­rechtliche Wegwei­sungshindernisse - so etwa Art. 7 des Inter­nationalen Pakts vom 16. Dezember 1966 über bürgerliche und politische Rechte (UNO-Pakt II, SR 0.103.2) sowie Art. 3 des Übereinkommens vom 10. Dezember 1984 gegen Folter und andere grausame, unmenschliche oder erniedrigende Behandlung oder Strafe (FoK, SR 0.105) - gehen in ihrer Tragweite nicht über Art. 3 EMRK hinaus (vgl. dazu BGE 124 I 235 f. E. 2a). Aus den in E. 5.3. angeführten Gründen besteht auch keine gegen die Zulässigkeit des Wegweisungsvollzugs sprechende Verletzung von Art. 8 EMRK.</w:t>
      </w:r>
    </w:p>
    <w:p>
      <w:r>
        <w:rPr>
          <w:b/>
        </w:rPr>
        <w:t>E. 6.2.4</w:t>
      </w:r>
    </w:p>
    <w:p>
      <w:r>
        <w:t>Die Vorinstanz hat den Vollzug der Wegweisung dem Gesagten zu­folge zu Recht als zulässig erachtet. Auch unter dem Aspekt von Art. 83 Abs. 3 AuG fällt die Anordnung der vorläufigen Aufnahme somit nicht in Be­tracht.</w:t>
      </w:r>
    </w:p>
    <w:p>
      <w:r>
        <w:rPr>
          <w:b/>
        </w:rPr>
        <w:t>E. 6.3</w:t>
      </w:r>
    </w:p>
    <w:p>
      <w:r>
        <w:t>Angesichts der aufgezeigten Sachlage erübrigt es sich, auf weitere Ein­wendungen in der Beschwerde und die Beweismittel einzugehen, da diese nicht geeignet sind, einen anderen Entscheid in der Frage der Weg­weisung als solchen oder des Weg­weisungsvollzugs herbeizuführen. Der Sachverhalt wurde vom BFM, entgegen der in der Beschwerde erhobe­nen Rüge, in den für die Be­urteilung der Wegweisung und des Vollzugs rele­vanten Punkten ausreichend ermittelt. Nach Würdigung aller Um­stände ist deshalb festzuhalten, dass die Vorinstanz auch den Vollzug der Wegweisung des Beschwerdeführers im Ergebnis zu Recht angeordnet hat.</w:t>
      </w:r>
    </w:p>
    <w:p>
      <w:r>
        <w:rPr>
          <w:b/>
        </w:rPr>
        <w:t>E. 6.4</w:t>
      </w:r>
    </w:p>
    <w:p>
      <w:r>
        <w:t>Aus diesen Erwägungen ergibt sich, dass die Verfügung des BFM vom 12. März 2012 in den angefochtenen Teilen Bundesrecht nicht ver­letzt, den rechtserheblichen Sachverhalt richtig und vollständig fest­stellt und angemessen ist (Art. 106 AsylG). Die Beschwerde ist demnach abzu­weisen.</w:t>
      </w:r>
    </w:p>
    <w:p>
      <w:r>
        <w:rPr>
          <w:b/>
        </w:rPr>
        <w:t>E. 7</w:t>
      </w:r>
    </w:p>
    <w:p>
      <w:r>
        <w:t>Mit dem vorliegenden Entscheid in der Hauptsache wird das Gesuch um Wiederherstellung der aufschiebenden Wirkung gegenstandslos.</w:t>
      </w:r>
    </w:p>
    <w:p>
      <w:r>
        <w:rPr>
          <w:b/>
        </w:rPr>
        <w:t>E. 8.1</w:t>
      </w:r>
    </w:p>
    <w:p>
      <w:r>
        <w:t>Bei diesem Ausgang des Verfahrens wären die gesamten Kosten dem mit seinen Begehren unterlegenen Beschwerdeführer aufzu­erlegen (Art. 37 VGG i.V.m. Art. 63 Abs. 1 und 5 VwVG). Gleichzeitig mit der Be­schwerde hat der Beschwerdeführer jedoch ein Gesuch um Gewährung der unentgeltlichen Rechtspflege im Sinne von Art. 65 Abs. 1 VwVG einge­reicht (vgl. Prozessgeschichte Bst. O.a.), dessen Beurteilung aus­steht.</w:t>
      </w:r>
    </w:p>
    <w:p>
      <w:r>
        <w:rPr>
          <w:b/>
        </w:rPr>
        <w:t>E. 8.2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dem Beschwerdeführer nicht vor­gehalten werden, seiner Be­schwerde habe es im Zeitpunkt der Be­antragung der unentgeltlichen Rechtspflege mit Blick auf die Erfolgs­aussichten an der nötigen Ernsthaftig­keit gefehlt (vgl. BGE 125 II 265 E. 4b S. 275). Die Beschwerde­begehren erschienen bei retrospektiver Betrachtung nicht aus­sichtslos. Aus dem ZEMIS ist zudem ersichtlich, dass der Beschwerde­führer nicht er­werbstätig ist, weshalb von seiner Mittellosig­keit auszugehen ist. Folgerichtig kann er als prozessual bedürftig im Sinne von Art. 65 Abs. 1 VwVG gelten. Beide kumulativ erforderlichen Be­dingungen für die Gewährung der unentgeltlichen Rechtspflege im Sinne von Art. 65 Abs. 1 VwVG sind somit erfüllt. Das darauf abzielende Ge­such ist somit gutzuheissen.</w:t>
      </w:r>
    </w:p>
    <w:p>
      <w:r>
        <w:rPr>
          <w:b/>
        </w:rPr>
        <w:t>E. 8.3</w:t>
      </w:r>
    </w:p>
    <w:p>
      <w:r>
        <w:t>Das ferner gestellte Gesuch gemäss Art. 65 Abs. 2 VwVG ist abzuwei­sen, da das vorliegende Verfahren weder in tatsächlicher noch in rechtli­cher Hinsicht be­sonders komplex erschien.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