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D-1531/2013 vom 29. August 2014</w:t>
      </w:r>
    </w:p>
    <w:p>
      <w:r>
        <w:t>Bundesverwaltungsgericht, 2014-08-29, FR</w:t>
      </w:r>
    </w:p>
    <w:p>
      <w:r>
        <w:rPr>
          <w:b/>
        </w:rPr>
        <w:t xml:space="preserve">Quelle: </w:t>
      </w:r>
      <w:r>
        <w:t>https://mcp.opencaselaw.ch/entscheid/bvger_D-1531_2013</w:t>
      </w:r>
    </w:p>
    <w:p>
      <w:r>
        <w:t>FR: TAF D-1531/2013 du 29 août 2014</w:t>
      </w:r>
    </w:p>
    <w:p>
      <w:r>
        <w:t>IT: TAF D-1531/2013 del 29 agosto 2014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admise.</w:t>
      </w:r>
    </w:p>
    <w:p>
      <w:r>
        <w:rPr>
          <w:b/>
        </w:rPr>
        <w:t>E. 3</w:t>
      </w:r>
    </w:p>
    <w:p>
      <w:r>
        <w:t>Il n'est pas perçu de frais de procédure. Le président du collège : Le greffier : Gérald Bovier Alain Romy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