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D-1530/2020 vom 16. August 2023</w:t>
      </w:r>
    </w:p>
    <w:p>
      <w:r>
        <w:t>Bundesverwaltungsgericht, 2023-08-16, DE</w:t>
      </w:r>
    </w:p>
    <w:p>
      <w:r>
        <w:rPr>
          <w:b/>
        </w:rPr>
        <w:t xml:space="preserve">Quelle: </w:t>
      </w:r>
      <w:r>
        <w:t>https://mcp.opencaselaw.ch/entscheid/bvger_D-1530_2020</w:t>
      </w:r>
    </w:p>
    <w:p>
      <w:r>
        <w:t>FR: TAF D-1530/2020 du 16 août 2023</w:t>
      </w:r>
    </w:p>
    <w:p>
      <w:r>
        <w:t>IT: TAF D-1530/2020 del 16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D-1530/2020 Seite 5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Aufgrund der Subsidiarität des flüchtlingsrechtlichen Schutzes setzt die Anerkennung der Flüchtlingseigenschaft voraus, dass die von nichtstaatli- cher Verfolgung betroffene Person in ihrem Heimat- oder Herkunftsstaat keinen ausreichenden Schutz finden kann (vgl. BVGE 2011/51 E. 7, 2008/12 E. 7.2.6.2, 2008/4 E. 5.2). Der Schutz gilt als ausreichend, wenn die betroffene Person effektiven Zugang zu einer funktionierenden und ef- fizienten Schutzinfrastruktur hat und ihr die Inanspruchnahme eines sol-</w:t>
      </w:r>
    </w:p>
    <w:p>
      <w:r>
        <w:t>D-1530/2020 Seite 6 chen innerstaatlichen Schutzsystems zumutbar ist (vgl. BVGE 2011/51 E. 7.3 f.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zur Begründung der Verneinung der Flüchtlingseigenschaft im Wesentlichen an, die sri-lanki- schen Behörden seien in der Lage, Opfer nichtstaatlicher Verfolgung adä- quat zu schützen. Der Beschwerdeführer hätte sich daher bezüglich der geltend gemachten Verfolgung an die heimatlichen Behörden wenden kön- nen. Er habe jedoch nicht einmal versucht, eine Anzeige zu erstatten oder um Schutz zu ersuchen. Dies habe er damit begründet, dass seine Verfol- ger ihm mit Konsequenzen gedroht hätten, sollte er zur Polizei gehen; er habe daher befürchtet, noch mehr Schwierigkeiten zu bekommen. Es er- scheine jedoch angesichts der bereits bestehenden Probleme mit seinen Verfolgern unverständlich, dass er nicht versucht habe, bei den heimatli- chen Behörden um Schutz zu ersuchen, sondern sich (direkt) für die defi- nitive Ausreise aus seinem Heimatstaat entschieden habe. Des Weiteren habe er erklärt, dass seine Ehefrau nach seiner Ausreise Anzeige wegen Drohungen seitens dieser Personen erstattet habe. Dies zeige auf, dass es in solchen Fällen möglich sei, sich an die sri-lankischen Behörden zu wenden, damit diese die notwendigen Schritte unternehmen würden. Fer- ner hätte er sich vor der geltend gemachten Verfolgung in Sicherheit brin- gen können. Sein Vorbringen, wonach er auch anderswo in Sri Lanka in Gefahr gewesen wäre, überzeuge nicht, zumal die behauptete Verfolgung aus einer lokalen und privaten Streitigkeit entstanden sei. Es erscheine da- her unwahrscheinlich, dass er anderswo in Sri Lanka aufgrund der Bezie- hungen seiner Verfolger Probleme zu gewärtigen gehabt hätte. Dies gelte umso mehr, als er erklärt habe, nie Probleme mit den heimatlichen Behör- den gehabt zu haben. Im Hinblick auf das Referenzurteil des BVGer E-1866/2015 vom 15. Juli 2016 führte das SEM sodann im Wesentlichen aus, der Beschwerdeführer habe nicht geltend gemacht, vor seiner Ausreise aus Sri Lanka einer asyl-</w:t>
      </w:r>
    </w:p>
    <w:p>
      <w:r>
        <w:t>D-1530/2020 Seite 7 relevanten Verfolgung ausgesetzt gewesen zu sein. Im Gegenteil habe er sich nach Kriegsende noch acht Jahre in seinem Heimatland aufgehalten. Allfällige im Zeitpunkt seiner Ausreise bestehende Risikofaktoren seien da- her nicht geeignet, eine Verfolgung seitens der sri-lankischen Behörden auszulösen. Es sei aufgrund der Akten nicht ersichtlich, weshalb er bei ei- ner Rückkehr nunmehr in den Fokus der Behörden geraten und in asylre- levanter Weise verfolgt werden sollte. Die Wahl Gotabaya Rajapaksas zum Präsidenten am 16. November 2019 vermöge an dieser Einschätzung nichts zu ändern.</w:t>
      </w:r>
    </w:p>
    <w:p>
      <w:r>
        <w:rPr>
          <w:b/>
        </w:rPr>
        <w:t>E. 4.2</w:t>
      </w:r>
    </w:p>
    <w:p>
      <w:r>
        <w:t>In der Beschwerde wird im Wesentlichen vorgebracht, der Beschwer- deführer habe eine Verfolgung durch die Valveddu-Gruppe geltend ge- macht. Dabei handle es sich um einen anderen Namen für die Aava-Grup- pe, die bekannt dafür sei, auf Motorrädern, bewaffnet mit Schwertern und Säbeln, ihr Unwesen zu treiben. Die Hintergründe dieser Gruppierung sei- en nicht ganz klar. In den Medien werde berichtet, dass die Aava-Gang ursprünglich durch das sri-lankische Militär gegründet worden sei. Kein ge- ringerer als Gotabaya Rajapaksa soll die Aava-Gruppe während seiner Amtszeit als Verteidigungsminister ins Leben gerufen haben. Die vorin- stanzliche Argumentation, es handle sich um eine Verfolgung durch Dritte respektive um eine nichtstaatliche Verfolgung greife damit zu kurz. Es sei davon auszugehen, dass die Aava-Gang Kontakte zu den Behörden habe und von diesen geduldet werde und teilweise Schutz geniesse. Des Wei- teren erscheine fraglich, ob der sri-lankische Staat willens und fähig sei, den Beschwerdeführer als Tamilen ausreichend zu schützen. Mangelnder staatlicher Schutz gegenüber Tamilen sei eine bekannte Problematik und Verbrechen gegen Tamilen hätten oftmals auch Straflosigkeit zur Folge; dies gelte umso mehr für Personen wie den Beschwerdeführer, die mit re- gimekritischen Medien zusammenarbeiten würden. Ähnliches zeichne sich betreffend die Anzeige seiner Ehefrau ab. So seien zwar zunächst einige Männer festgenommen worden, welche seine Ehefrau identifiziert habe. In der Folge seien diese Männer allerdings wieder freigelassen worden. Es müsse deshalb geschlussfolgert werden, dass der Beschwerdeführer zwar nicht direkt durch staatliche Akteure verfolgt worden sei, der sri-lankische Staat die Aava-Gang jedoch zumindest teilweise unterstütze und dem Be- schwerdeführer, nicht zuletzt wegen seiner tamilischen Ethnie, keinen ge- nügenden Schutz gewähre, weshalb eine asylrelevante Verfolgung gege- ben sei. Des Weiteren würde der Beschwerdeführer bei einer Einreise bereits an- gesichts seiner Herkunft aus dem Distrikt C._______ systematisch ins</w:t>
      </w:r>
    </w:p>
    <w:p>
      <w:r>
        <w:t>D-1530/2020 Seite 8 Visier der Sicherheitskräfte geraten. Ohne sri-lankischen Reisepass wäre er mit einem temporären Reisepass als Person mit einem durchlaufenen Asylverfahren identifizierbar und würde infolge dessen von der Einreisebe- hörde und der Kriminalpolizei einer Personenüberprüfung unterzogen und zu Identität, persönlichem Hintergrund und Reiseziel befragt. Es sei nicht auszuschliessen, dass er aus Sicht der sri-lankischen Regierung als re- gimekritischer Medienschaffender angesehen werde, was das Risiko asyl- relevanter Verfolgung bei einer allfälligen Rückführung nach Sri Lanka er- höhe. Ein solches Risiko bestehe umso mehr seit dem Regierungswech- sel, der durch die Wahlen am 16. November 2019 ausgelöst worden sei. Das dreiste und rechtswidrige Vorgehen des Rajapaksa-Clans gegen jeg- liche Gegner lasse vermuten, dass dieses Regime auch gegenüber zurück- geschafften, abgewiesenen Asylsuchenden aus der Schweiz vermehrt vor- gehen werde. Es könne zum jetzigen Zeitpunkt nicht ausgeschlossen wer- den, dass ihnen Folter, Inhaftierung oder andere unmenschliche Behand- lungen drohen würden. Dies gelte insbesondere auch in Bezug auf den Beschwerdeführer, der in der Vergangenheit für Medien fotografiert habe.</w:t>
      </w:r>
    </w:p>
    <w:p>
      <w:r>
        <w:rPr>
          <w:b/>
        </w:rPr>
        <w:t>E. 5.1</w:t>
      </w:r>
    </w:p>
    <w:p>
      <w:r>
        <w:t>Das Gericht gelangt nach Prüfung der Akten – in Übereinstimmung mit dem SEM – zum Schluss, dass die Vorbringen des Beschwerdeführers zu der von ihm geltend gemachten Verfolgung durch die Valveddu-Gruppe den Anforderungen an die Flüchtlingseigenschaft gemäss Art. 3 AsylG nicht standzuhalten vermögen. Zur Vermeidung unnötiger Wiederholungen kann zunächst auf die vorinstanzlichen Erwägungen in der angefochtenen Verfügung verwiesen werden, die im Wesentlichen zu bestätigen sind.</w:t>
      </w:r>
    </w:p>
    <w:p>
      <w:r>
        <w:rPr>
          <w:b/>
        </w:rPr>
        <w:t>E. 5.2.1</w:t>
      </w:r>
    </w:p>
    <w:p>
      <w:r>
        <w:t>Soweit in der Beschwerde die Schutzwilligkeit der sri-lankischen Be- hörden bei Übergriffen durch die Aava-Gruppe, welche mit der Valveddu- Gruppe identisch sei, angezweifelt und diesbezüglich auf deren mutmass- lichen Hintergründe hingewiesen wird, kann vorab auf die Rechtspre- chungspraxis verwiesen werden. Das Bundesverwaltungsgericht geht demnach davon aus, dass die Aava-Gruppe in erster Linie aus rein krimi- nellen Motiven heraus handelt und der sri-lankische Staat in Bezug auf diese Gruppe (auch bei Übergriffen auf tamilische Personen) schutzfähig und -willig ist (vgl. etwa die Urteile des BVGer E-5142/2019 vom 3. Mai 2022 E. 6.1 und E-4915/2020 vom 14. Januar 2021 E. 6.6, je m.w.H.). Letz- teres wird auch durch das Vorbringen des Beschwerdeführers bestätigt, wonach ein respektive mehrere Mitglieder der Valveddu-Gruppe – infolge der Publikation einer vom Beschwerdeführer gemachten Fotografie auf</w:t>
      </w:r>
    </w:p>
    <w:p>
      <w:r>
        <w:t>D-1530/2020 Seite 9 diversen Webseiten – festgenommen und zwei Jahre im Gefängnis gewe- sen seien (vgl. Akten SEM A7/13 Ziff. 7.01 f.; A17/20 F83).</w:t>
      </w:r>
    </w:p>
    <w:p>
      <w:r>
        <w:rPr>
          <w:b/>
        </w:rPr>
        <w:t>E. 5.2.2</w:t>
      </w:r>
    </w:p>
    <w:p>
      <w:r>
        <w:t>Es ist sodann – entgegen dem entsprechenden Beschwerdevorbrin- gen und unter Hinweis auf das in E. 7.2.2 nachfolgend Ausgeführte – nicht ersichtlich, weshalb die sri-lankischen Behörden im Falle des Beschwerde- führers wegen seiner behaupteten Zusammenarbeit mit regierungskriti- schen Medien nicht schutzwillig sein sollten. Schliesslich vermag allein die Behauptung in der Beschwerde, wonach die infolge der Anzeigeerstattung durch die Ehefrau des Beschwerdeführers festgenommenen und durch sie identifizierten Männer kurz nach der Festnahme wieder freigelassen wor- den seien, nicht zur Annahme zu führen, dass die sri-lankischen Behörden im vorliegenden Fall – bei Wahrunterstellung der Vorbringen des Be- schwerdeführers – nicht schutzwillig sind. Dies gilt umso mehr, als seine Ehefrau in dem auch vom Dorfvorsteher unterzeichneten Bestätigungs- schreiben vom 9. Oktober 2019 von unbekannten Räubern ("unidentified bandits") sprach und keine Festnahmen sowie anschliessenden Freilas- sungen erwähnte.</w:t>
      </w:r>
    </w:p>
    <w:p>
      <w:r>
        <w:rPr>
          <w:b/>
        </w:rPr>
        <w:t>E. 5.3</w:t>
      </w:r>
    </w:p>
    <w:p>
      <w:r>
        <w:t>Nach dem Gesagten ist die behauptete Verfolgung durch die Valveddu- Gruppe flüchtlingsrechtlich nicht relevant.</w:t>
      </w:r>
    </w:p>
    <w:p>
      <w:r>
        <w:rPr>
          <w:b/>
        </w:rPr>
        <w:t>E. 6</w:t>
      </w:r>
    </w:p>
    <w:p>
      <w:r>
        <w:t>Der Vollständigkeit halber ist an dieser Stelle festzuhalten, dass der Be- schwerdeführer im vorinstanzlichen Verfahren (in unsubstanziierter Weise) auf Probleme mit der EPDP (Eelam People’s Democratic Party) im Jahr 2004 und ab 2011 verwies (vgl. Akten SEM A7/13 Ziff. 2.01; vgl. im Übrigen Beschwerde S. 4). Da diese gemäss seinen Aussagen in den Jahren vor seiner Ausreise offenbar nicht mehr bestanden (vgl. Akten SEM A7/13 Ziff. 7.01 f.; A17/20 F83 f. und 156), erübrigen sich weitere Ausführungen hierzu.</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(vgl. insb. BVGE 2011/24 E. 8 und Referenzurteil E-1866/2015 vom 15. Juli 2016 E. 8, je mit umfassender Quellenanalyse). Nach wie vor besteht sei- tens der sri-lankischen Behörden gegenüber Personen tamilischer Ethnie, die aus dem Ausland zurückkehren, eine erhöhte Wachsamkeit. Indessen</w:t>
      </w:r>
    </w:p>
    <w:p>
      <w:r>
        <w:t>D-1530/2020 Seite 10 kann nicht generell angenommen werden, jeder aus Europa oder der Schweiz zurückkehrende tamilische Asylsuchende sei alleine aufgrund sei- nes Auslandaufenthaltes der ernstzunehmenden Gefahr von Verhaftung und Folter ausgesetzt (vgl. Referenzurteil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Referenzurteil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sogenannte "Stop-List" (d.h. das Vorhandensein eines Eintrags mit Hinweis auf ein Strafurteil, eine gerichtliche Anordnung oder einen Haftbefehl im Zusammenhang mit einer tatsächlichen oder ver- muteten Verbindung zu den LTTE; vgl. a.a.O. E. 8.2, 8.4.1, 8.4.3 und 8.5.2), Verbindungen zu den LTTE (vgl. a.a.O E. 8.4.1 und 8.5.3) und die regimekritische Betätigung im Ausland (vgl. a.a.O. E. 8.4.2 und 8.5.4) iden- tifiziert. Demgegenüber stellen schwach risikobegründende Faktoren (na- mentlich) dar: Das Fehlen ordentlicher Identitätsdokumente bei der Ein- reise in Sri Lanka, eine zwangsweise respektive durch die IOM begleitete Rückführung oder Narben (vgl. a.a.O. 8.4.4, 8.4.5 und 8.5.5); der Dauer eines Aufenthaltes im Ausland kommt keine direkte Risikorelevanz zu (vgl. a.a.O. E. 8.4.6, 9.2.4). Diese Risikofaktoren verstehen sich nicht als ab- schliessend (a.a.O. E. 9.1).</w:t>
      </w:r>
    </w:p>
    <w:p>
      <w:r>
        <w:rPr>
          <w:b/>
        </w:rPr>
        <w:t>E. 7.2.1</w:t>
      </w:r>
    </w:p>
    <w:p>
      <w:r>
        <w:t>Aufgrund der Aktenlage ist nicht davon auszugehen, dass beim Be- schwerdeführer Risikofaktoren vorliegen, welche bei einer Rückkehr nach Sri Lanka zu einer flüchtlingsrechtlich relevanten Verfolgung führen könn- ten. Jedenfalls reichen seine tamilische Ethnie, seine Herkunft aus der Nordprovinz, sein langjähriger Aufenthalt in der Schweiz und eine allfällige Rückkehr ohne Identitätspapiere für die Annahme einer künftigen Verfol- gungsgefahr nicht aus.</w:t>
      </w:r>
    </w:p>
    <w:p>
      <w:r>
        <w:t>D-1530/2020 Seite 11</w:t>
      </w:r>
    </w:p>
    <w:p>
      <w:r>
        <w:rPr>
          <w:b/>
        </w:rPr>
        <w:t>E. 7.2.2.1</w:t>
      </w:r>
    </w:p>
    <w:p>
      <w:r>
        <w:t>Auch seine behauptete Zusammenarbeit mit regierungskritischen Medien vermag sein Risikoprofil nicht massgeblich zu schärfen (vgl. hierzu BVGE 2011/24 E. 8.2), zumal er seinen eigenen Angaben zufolge – auch deswegen – nie Probleme mit den heimatlichen Behörden hatte (vgl. Akten SEM A7/13 Ziff. 7.02). Es besteht insofern kein Grund zur Annahme, dass er wegen dieser Zusammenarbeit bei einer Rückkehr nach Sri Lanka nun- mehr in den Fokus der sri-lankischen Behörden geraten würde.</w:t>
      </w:r>
    </w:p>
    <w:p>
      <w:r>
        <w:rPr>
          <w:b/>
        </w:rPr>
        <w:t>E. 7.2.2.2</w:t>
      </w:r>
    </w:p>
    <w:p>
      <w:r>
        <w:t>Seinen Aussagen anlässlich der BzP und der Anhörung kann denn auch nicht entnommen werden, dass die von ihm angeblich gemachten Fotografien für die Medien kritische Inhalte zeigen würden. So gab er le- diglich an, er habe Fotografien von verschiedenen Meetings (Wahlkampag- nenmeetings) und zum Beispiel von Unfällen oder von Anlässen der Re- gierung gemacht, wobei er sich (ab 2008) jeweils mit seinem nicht zu den Akten gereichten Ausweis von "Free Media" ausgewiesen habe. Zudem habe er "unerwartete Ereignisse" (bspw. die Valveddu-Gruppe) fotografiert (vgl. Akten SEM A7/13 Ziff. 7.2; A17/20 F59 ff.). Er selbst machte mit kei- nem Wort geltend, dass er – wie im eingereichten Schreiben des "(…)" festgehalten – Fotografien von Tötungen, Entführungen und Kindsmiss- handlungen gemacht habe, was allenfalls ein Verfolgungsinteresse seitens der heimatlichen Behörden hätte auslösen können.</w:t>
      </w:r>
    </w:p>
    <w:p>
      <w:r>
        <w:rPr>
          <w:b/>
        </w:rPr>
        <w:t>E. 7.2.2.3</w:t>
      </w:r>
    </w:p>
    <w:p>
      <w:r>
        <w:t>Sofern der Beschwerdeführer in der Anhörung vorbrachte, er habe vom Jahr 2000 bis ins Jahr 2005 für "die Bewegung" Fotografien gemacht respektive "der Bewegung" Fotografien abgegeben (vgl. Akten SEM A17/20 F152 und 156), ist sodann festzustellen, dass er dies in der Be- schwerde so nicht mehr geltend machte. Darin wurde bezüglich dieser Zeit- spanne einzig festgehalten, dass er gelegentlich an LTTE-nahen Wahlver- anstaltungen fotografiert und die Fotografien an die Zeitungen "Uthayan" oder "Thinakural" verkauft habe, welche die Fotografien teilweise abge- druckt hätten. Abgesehen von dieser Unstimmigkeit sind diese beiden Vor- bringen zu unsubstanziiert ausgefallen, als dass daraus auf ein künftiges Verfolgungsinteresse seitens der sri-lankischen Behörden geschlossen werden könnte.</w:t>
      </w:r>
    </w:p>
    <w:p>
      <w:r>
        <w:rPr>
          <w:b/>
        </w:rPr>
        <w:t>E. 7.2.3</w:t>
      </w:r>
    </w:p>
    <w:p>
      <w:r>
        <w:t>Zusammenfassend ist demnach nicht davon auszugehen, dass der Beschwerdeführer bei einer Rückkehr nach Sri Lanka die Aufmerksamkeit der Behörden in einem flüchtlingsrechtlich relevanten Ausmass auf sich ziehen wird. An dieser Einschätzung vermögen vorliegend auch die im Zu-</w:t>
      </w:r>
    </w:p>
    <w:p>
      <w:r>
        <w:t>D-1530/2020 Seite 12 ge des Regierungswechsels veränderte politische Lage in Sri Lanka sowie die nachträglichen Ereignisse nichts zu ändern.</w:t>
      </w:r>
    </w:p>
    <w:p>
      <w:r>
        <w:rPr>
          <w:b/>
        </w:rPr>
        <w:t>E. 8</w:t>
      </w:r>
    </w:p>
    <w:p>
      <w:r>
        <w:t>Nach dem Gesagten hat das SEM zu Recht die Flüchtlingseigenschaft ver- neint und das Asylgesuch abgelehnt. Es erübrigt sich, auf die weiteren Be- schwerdevorbringen einzugehen, da sie nicht geeignet sind, eine Ände- rung dieser Einschätzung zu bewirken. Die Frage der Glaubhaftigkeit der Vorbringen des Beschwerdeführers kann bei dieser Ausgangslage offen- bleiben.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D-1530/2020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10.2.2.1</w:t>
      </w:r>
    </w:p>
    <w:p>
      <w:r>
        <w:t>Da es dem Beschwerdeführer nicht gelungen ist, eine asylrecht- lich erhebliche Gefährdung nachzuweisen oder glaubhaft zu machen, kann der in Art. 5 AsylG verankerte Grundsatz der Nichtrückschiebung im vorlie- genden Verfahren keine Anwendung finden. Eine Rückkehr des Beschwer- 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Ausführungen zum Asyl- punkt nicht gelungen. Es bestehen aufgrund der Akten mithin auch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Im Übrigen besteht auch kein Grund zur Annahme, die jüngsten politischen Entwicklungen in Sri Lanka könnten sich konkret auf den Beschwerdefüh- rer auswirken. Die allgemeine Menschenrechtssituation in Sri Lanka lässt den Wegweisungsvollzug zum heutigen Zeitpunkt ebenfalls nicht als unzu- lässig erscheinen (vgl. etwa Urteile des BVGer E-730/2020 vom 31. Mai 2023 E. 7.2.3 und D-2536/2023 vom 26. Mai 2023 E. 10.2.3).</w:t>
      </w:r>
    </w:p>
    <w:p>
      <w:r>
        <w:rPr>
          <w:b/>
        </w:rPr>
        <w:t>E. 10.2.3</w:t>
      </w:r>
    </w:p>
    <w:p>
      <w:r>
        <w:t>Nach dem Gesagten ist der Vollzug der Wegweisung sowohl im Sinne der asyl- als auch der völkerrechtlichen Bestimmungen zulässig.</w:t>
      </w:r>
    </w:p>
    <w:p>
      <w:r>
        <w:t>D-1530/2020 Seite 14</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(vgl. Refe- renzurteile E-1866/2015 vom 15. Juli 2016 E. 13.3.3 und D-3619/2016 vom 16. Oktober 2017 E. 9.5). Diese Einschätzung gilt auch angesichts der jün- geren sowie aktuellen Entwicklungen in Sri Lanka.</w:t>
      </w:r>
    </w:p>
    <w:p>
      <w:r>
        <w:rPr>
          <w:b/>
        </w:rPr>
        <w:t>E. 10.3.3</w:t>
      </w:r>
    </w:p>
    <w:p>
      <w:r>
        <w:t>Der heute (…)-jährige Beschwerdeführer leidet an keinen aktenkun- digen gesundheitlichen Problemen und verfügt an seinem Herkunftsort über ein tragfähiges familiäres Beziehungsnetz (insb. Eltern, Geschwister sowie Ehefrau und deren Mutter) und mithin eine gesicherte Wohnsituation (vgl. Akten SEM A7/13 Ziffn. 2.01 und 3.01; A17/20 F27 ff.). Er besitzt so- dann einen A-Level-Schulabschluss und hat viele Jahre in mehreren (…) als (…) gearbeitet, wobei er gemäss seinen Aussagen im letzten (…), das einem entfernten Onkel gehöre, auch als (…) tätig war (vgl. Akten SEM A7/13 Ziff. 1.17.04 f.; A17/20 F42 ff.). Angesichts dieser Ausgangslage ist davon auszugehen, dass ihm die soziale sowie die wirtschaftliche Rein- tegration bei einer Rückkehr nach Sri Lanka möglich ist und er von der dort aktuell herrschenden Wirtschaftskrise nicht in existenzbedrohender Weise betroffen sein wird.</w:t>
      </w:r>
    </w:p>
    <w:p>
      <w:r>
        <w:rPr>
          <w:b/>
        </w:rPr>
        <w:t>E. 10.3.4</w:t>
      </w:r>
    </w:p>
    <w:p>
      <w:r>
        <w:t>Nach dem Gesagten erweist sich der Vollzug der Wegweisung auch als zumutbar.</w:t>
      </w:r>
    </w:p>
    <w:p>
      <w:r>
        <w:t>D-1530/2020 Seite 15</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sind die Kosten – unter Hinweis auf die mit Zwischenverfügung vom 12. Juli 2022 widerrufene Gewährung der unentgeltlichen Prozessführung – dem Beschwerdeführer aufzuerle- gen (Art. 63 Abs. 1 VwVG) und auf insgesamt Fr. 750.– festzusetzen (Art. 1–3 des Reglements vom 21. Februar 2008 über die Kosten und Ent- schädigungen vor dem Bundesverwaltungsgericht [VGKE, SR 173.320.2]).</w:t>
      </w:r>
    </w:p>
    <w:p>
      <w:r>
        <w:rPr>
          <w:b/>
        </w:rPr>
        <w:t>E. 12.2</w:t>
      </w:r>
    </w:p>
    <w:p>
      <w:r>
        <w:t>Die amtlichen Rechtsbeiständinnen des Beschwerdeführers (vgl. insb. Bst. H. und im Übrigen Bst. J. vorstehend) sind für ihren Aufwand un- besehen des Ausgangs des Verfahrens zu entschädigen, wobei das Hono- rar von MLaw Cora Dubach an die rubrizierte Rechtsvertreterin respektive die Freiplatzaktion Basel zu entrichten ist (vgl. Bst. G vorstehend; vgl. für die Grundsätze der Bemessung der Parteientschädigung Art. 7 ff. des Reg- lements vom 21. Februar 2008 über die Kosten und Entschädigungen vor dem Bundesverwaltungsgericht [VGKE, SR 173.320.2]). Bei amtlicher Ver- tretung geht das Gericht in der Regel von einem Stundenansatz von Fr. 100.– bis Fr. 150.– für nicht-anwaltliche Vertreterinnen und Vertreter aus (vgl. Art. 12 i.V.m. Art. 10 Abs. 2 VGKE), wobei nur der notwendige Aufwand zu entschädigen ist (vgl. Art. 8 Abs. 2 VGKE).</w:t>
      </w:r>
    </w:p>
    <w:p>
      <w:r>
        <w:rPr>
          <w:b/>
        </w:rPr>
        <w:t>E. 12.3</w:t>
      </w:r>
    </w:p>
    <w:p>
      <w:r>
        <w:t>In der mit der Beschwerde eingereichten Kostennote wird ein Auf- wand von insgesamt 7.25 Stunden für die Vertretung verzeichnet, was an- gemessen erscheint. Der ausgewiesene Stundenansatz von Fr. 150.– be- wegt sich im zuvor genannten Rahmen. Die notwendigen Spesen und</w:t>
      </w:r>
    </w:p>
    <w:p>
      <w:r>
        <w:t>D-1530/2020 Seite 16 übrigen notwendigen Aufwendungen von insgesamt Fr. 104.– erscheinen ebenfalls als angemessen. Für die weiteren Eingaben wurde keine aktua- lisierte Kostennote eingereicht, weshalb das Gericht die auszurichtende Entschädigung von Amtes wegen festsetzt. Gestützt auf die in Betracht zu ziehenden Bemessungsfaktoren ist das den amtlichen Rechtsbeiständin- nen respektive der Freiplatzaktion Basel auszurichtende amtliche Honorar auf insgesamt Fr. 1’300.– festzusetzen.</w:t>
      </w:r>
    </w:p>
    <w:p>
      <w:r>
        <w:t>(Dispositiv nächste Seite)</w:t>
      </w:r>
    </w:p>
    <w:p>
      <w:r>
        <w:t>D-1530/2020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