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D-1526/2014 vom 17. April 2014</w:t>
      </w:r>
    </w:p>
    <w:p>
      <w:r>
        <w:t>Bundesverwaltungsgericht, 2014-04-17, DE</w:t>
      </w:r>
    </w:p>
    <w:p>
      <w:r>
        <w:rPr>
          <w:b/>
        </w:rPr>
        <w:t xml:space="preserve">Quelle: </w:t>
      </w:r>
      <w:r>
        <w:t>https://mcp.opencaselaw.ch/entscheid/bvger_D-1526_2014</w:t>
      </w:r>
    </w:p>
    <w:p>
      <w:r>
        <w:t>FR: TAF D-1526/2014 du 17 avril 2014</w:t>
      </w:r>
    </w:p>
    <w:p>
      <w:r>
        <w:t>IT: TAF D-1526/2014 del 17 aprile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[AsylG, SR 142.31];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Leserlichkeit des Rückscheins bei den Akten nicht fest. Aus den Akten ist ersichtlich, dass die vorinstanzliche Verfügung vom 29. Januar 2014 von der Schweizerischen Vertretung in Colombo am 11. Februar 2014 versandt wurde. Im Weiteren steht fest, dass die Be-schwerdeeingabe am 12. März 2014 bei der Schweizerischen Vertre-tung eintraf. Somit ist davon auszugehen, dass die am 12. März 2014 bei der Schweizerischen Vertretung eingetroffene Beschwerde (vgl. Sachverhalt Bst. F) rechtzeitig erfolgt ist.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BFM in der angefochtenen Verfügung zu bestätigen, wonach sich aus den wesentlichen Vorbringen des Beschwerdeführers, nach seiner Haft vom Februar 2008 bis Mai 2008 habe er sich wöchentlich bei der B._______ oder bei der CCD melden müssen und werde auf der Strasse von den Sicherheitsbehörden regelmässig kontrolliert, keine asylrelevante Gefährdungssituation des Beschwerdeführers ergebe.</w:t>
      </w:r>
    </w:p>
    <w:p>
      <w:r>
        <w:rPr>
          <w:b/>
        </w:rPr>
        <w:t>E. 5.4</w:t>
      </w:r>
    </w:p>
    <w:p>
      <w:r>
        <w:t>Mit der Vorinstanz ist festzuhalten, dass der Beschwerdeführer seit seiner Haftentlassung im Mai 2008, wenn auch anfänglich unter Beobachtung stehend, keine behördlichen Behelligungen erforderlicher Intensität mehr ausgesetzt war, was auf ein fehlendes Verfolgungsinteresse des sri-lankischen Staates schliessen lässt; eine Einschätzung, die durch die Tatsache bestätigt wird, dass die sri-lankischen Behörden im Oktober 2008 dem Beschwerdeführer einen neuen Reisepass ausgestellt haben, mit dem er 2008 und 2012 jeweils nach Indien ausreiste und später ohne Schwierigkeiten wieder nach Sri Lanka zurückkehrte. Es gibt somit keine konkreten Anhaltspunkte für eine begründete Furcht des Beschwerdeführers vor künftiger Verfolgung. In diesem Zusammenhang ist im Weiteren auf die veränderte allgemeine Situation in Sri Lanka hinzuweisen. Nach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An dieser Einschätzung vermögen die allgemeinen, ohne Beweismittel oder nähere Angaben gestützten Behauptungen des Beschwerdeführers in der Beschwerde, wonach er "oft inoffiziellen polizeilichen Ermittlungen und Beobachtung ausgesetzt sei", nichts zu ändern.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verweigert und das Asylgesuch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