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D-1526/2012 vom 22. Oktober 2012</w:t>
      </w:r>
    </w:p>
    <w:p>
      <w:r>
        <w:t>Bundesverwaltungsgericht, 2012-10-22, DE</w:t>
      </w:r>
    </w:p>
    <w:p>
      <w:r>
        <w:rPr>
          <w:b/>
        </w:rPr>
        <w:t xml:space="preserve">Quelle: </w:t>
      </w:r>
      <w:r>
        <w:t>https://mcp.opencaselaw.ch/entscheid/bvger_D-1526_2012</w:t>
      </w:r>
    </w:p>
    <w:p>
      <w:r>
        <w:t>FR: TAF D-1526/2012 du 22 octobre 2012</w:t>
      </w:r>
    </w:p>
    <w:p>
      <w:r>
        <w:t>IT: TAF D-1526/2012 del 22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Vorab werden in der Beschwerde formelle Rügen erhoben: Das BFM lege seinem Entscheid einen veralteten Sachverhalt zugrunde, so wie er sich im Oktober 2009 präsentiert habe. Seitdem sei der Beschwerdeführer nicht mehr von der Vorinstanz kontaktiert worden und auch nicht angefragt worden, ob sich seitdem irgendwelche Veränderungen ergeben hätten. Dadurch sei der (abgemilderte) Untersuchungsgrundsatz sowie das rechtliche Gehör des Beschwerdeführers verletzt worden. Die Sache sei deshalb an die Vorinstanz zurückzuweisen, damit diese den Beschwerdeführer zu den Veränderungen in den letzten zweieinhalb Jahren befrage und allenfalls dazu ergänzende Abklärungen vornehme.</w:t>
      </w:r>
    </w:p>
    <w:p>
      <w:r>
        <w:rPr>
          <w:b/>
        </w:rPr>
        <w:t>E. 6</w:t>
      </w:r>
    </w:p>
    <w:p>
      <w:r>
        <w:t>Der Beschwerdeführer rügt demnach Verfahrensmängel, die sich insbesondere auf die Erhebung des Sachverhaltes durch die Vorinstanz beziehen. Dabei rügt er unter anderem, dass sich seit seiner Flucht die Verhältnisse in Sri Lanka allgemein stark verändert hätten und sich seit der Anhörung im Oktober 2009 mehrere Umstände von asylrelevanter Bedeutung ereignet hätten, die ihn persönlich betreffen würden, wie die Verhaftung und das nach wie vor unbekannte Schicksal seines Bruders D._______ sowie sein exilpolitisches Engagement. Soweit seine Rügen sowie die damit verbundenen prozessualen Anträge seine persönlichen Umstände betreffen, ist auf die nachfolgenden Ausführungen unter E. 6.1 f. zu verweisen. Auf die Rügen und die damit verbunden prozessualen Anträge im Hinblick auf die allgemeinen Veränderungen in Sri Lanka, ist im Zusammenhang mit der Beurteilung der Zumutbarkeit des Wegweisungsvollzuges einzugehen (vgl. nachfolgend, E. 9.6 ff.).</w:t>
      </w:r>
    </w:p>
    <w:p>
      <w:r>
        <w:rPr>
          <w:b/>
        </w:rPr>
        <w:t>E. 6.1</w:t>
      </w:r>
    </w:p>
    <w:p>
      <w:r>
        <w:t>Gemäss der im Verwaltungsverfahren geltenden Untersuchungsmaxime hat die Behörde den rechtserheblichen Sachverhalt von Amtes wegen festzustellen (Art. 12 VwVG). Dieser allgemeine Grundsatz wird relativiert durch die Mitwirkungspflicht der Parteien, welche namentlich insoweit greift, als eine Partei das Verfahren durch eigenes Begehren eingeleitet hat oder selbstständige Begehren stellt (Art. 13 Abs. 1 Bst. a und b VwVG). Die Mitwirkungspflicht gilt insbesondere für solche Tatsachen, die eine Partei besser kennt als die Behörden und welche diese ohne ihre Mitwirkung gar nicht oder nicht ohne vernünftigen Aufwand erheben können (vgl. BVGE 2008/24 E. 7.2 S. 356 f. mit weiteren Hinweisen).</w:t>
      </w:r>
    </w:p>
    <w:p>
      <w:r>
        <w:rPr>
          <w:b/>
        </w:rPr>
        <w:t>E. 6.2</w:t>
      </w:r>
    </w:p>
    <w:p>
      <w:r>
        <w:t>Nach Treu und Glauben darf vermutet werden, dass der Beschwerdeführer und insbesondere sein in Asylsachen versierter Rechtsvertreter die wesentlich erscheinenden Elemente aufzeigen und unaufgefordert mittels Beweisstücken belegen. So gilt denn auch die Mitwirkungspflicht insbesondere für solche Tatsachen, die eine Partei besser kennt als die Behörden und welche diese ohne ihre Mitwirkung gar nicht oder nicht ohne vernünftigen Aufwand erheben können (vgl. BVGE 2008/24 E. 7.2 S. 356 f. mit weiteren Hinweisen). Somit wäre es Pflicht des Beschwerdeführers beziehungsweise seines Rechtsvertreters gewesen, allfällige zwischenzeitlich eingetretene Veränderungen sofort den Schweizer Asylbehörden zur Kenntnis zu bringen. Demnach sind seine Anträge, es seien weitere Abklärungen des Sachverhalts vorzunehmen, abzuweisen, beziehungsweise die genannten Rügen geben keinen Anlass, die Sache zum Zweck zusätzlicher Sachverhaltserhebungen an die Vorinstanz zurückzuweisen. Im Übrigen wird auf die geltend gemachte exilpolitische Tätigkeit des Beschwerdeführers nachfolgend noch eingegangen (vgl. E. 7.3).</w:t>
      </w:r>
    </w:p>
    <w:p>
      <w:r>
        <w:rPr>
          <w:b/>
        </w:rPr>
        <w:t>E. 7.1</w:t>
      </w:r>
    </w:p>
    <w:p>
      <w:r>
        <w:t>Die Vorbringen in der Beschwerdeeingabe vom 19. März 2012 sind nicht geeignet, eine Änderung der vorinstanzlichen Verfügung zu bewirken. Der Argumentation des BFM werden keine stichhaltigen und substanziierten Gründe entgegengesetzt. Eine diesbezügliche Auseinandersetzung unterbleibt zwar nicht, doch vermögen die Ausführungen des Beschwerdeführers, welcher im Wesentlichen an der Asylrelevanz sowie der Glaubhaftigkeit seiner Vorbringen festhält, die nachvollziehbaren Erwägungen des BFM nicht umzustossen. Insbesondere der Einwand auf Beschwerdeebene, wonach der Beschwerdeführer mit dem bei der Kurzbefragung anwesenden Dolmetscher Mühe gehabt haben will und sein Vorbringen während der Anhörung, wonach er bei der Kurzbefragung Angst gehabt haben will und er bei allen Befragungen Angst habe (vgl. A10/15 S. 7), vermag zu keiner anderen Einschätzung zu führen. So hat der Beschwerdeführer sämtliche Protokolle mit seiner Unterschrift bestätigt, weshalb er sich seine Aussagen entgegenhalten lassen muss, zumal er die übersetzenden Personen anlässlich der Kurzbefragung (vgl. A1/12 S. 10) sowie anlässlich der Anhörung (vgl. A10/15 S. 1) "gut" verstanden haben will. Auch ist nicht einzusehen, weshalb er in einem Land um Asyl ersucht, vor dessen Behörden er sich zu fürchten vorgibt. Für das Bundesverwaltungsgericht besteht nach dem Studium der Akten keine Veranlassung, die Erwägungen des Bundesamts zu beanstanden. Um Wiederholungen zu vermeiden kann auf die zutreffenden Ausführungen in der angefochtenen Verfügung verwiesen werden.</w:t>
      </w:r>
    </w:p>
    <w:p>
      <w:r>
        <w:rPr>
          <w:b/>
        </w:rPr>
        <w:t>E. 7.2</w:t>
      </w:r>
    </w:p>
    <w:p>
      <w:r>
        <w:t>Aufgrund der vorstehenden Erwägungen erübrigt es sich, auf die auf Beschwerdeebene eingereichte Bestätigung der "Human Rights Commission of Sri Lanka" vom 22. Februar 2012 sowie die erwähnten Zeitungsartikel im Einzelnen einzugehen, da sie am Ergebnis der vorgenommenen Würdigung nichts zu ändern vermögen. Unter diesen Umständen ist somit festzustellen, dass der Beschwerdeführer einen flüchtlingsrechtliche bedeutsamen Sachverhalt weder nachgewiesen noch glaubhaft gemacht hat. Die Feststellung des BFM, der Beschwerdeführer erfülle die Flüchtlingseigenschaft gemäss Art. 3 AsylG nicht, ist dementsprechend zu bestätigen.</w:t>
      </w:r>
    </w:p>
    <w:p>
      <w:r>
        <w:rPr>
          <w:b/>
        </w:rPr>
        <w:t>E. 7.3</w:t>
      </w:r>
    </w:p>
    <w:p>
      <w:r>
        <w:t>In einem nächsten Schritt ist auf die subjektiven Nachfluchtgründe einzugehen, welche der Beschwerdeführer im vorliegende Verfahren mit den Vorbringen geltend macht, wonach die tamilische Gemeinschaft in der Schweiz die Tamil Tigers wesentlich unterstütze, und er an einer Demonstration (...) in F._______ teilgenommen habe. Dies stelle ein weiteres Gefährdungselement dar.</w:t>
      </w:r>
    </w:p>
    <w:p>
      <w:r>
        <w:rPr>
          <w:b/>
        </w:rPr>
        <w:t>E. 7.3.1</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EMARK 2006 Nr. 1 E. 6.1 S. 10; EMARK 2000 NR. 16 E. 5a S. 141 f.). Subjektive Nachfluchtgründe begründen zwar die Flüchtlingseigenschaft im Sinn von Art. 3 AsylG, führen jedoch nach Art. 54 AsylG zum Ausschluss aus der Asylgewährung.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BVGE 2009/28 E. 7.1 S. 352, EMARK 1995 Nr. 7 E. 7b und 8 S. 67 und S. 70).</w:t>
      </w:r>
    </w:p>
    <w:p>
      <w:r>
        <w:rPr>
          <w:b/>
        </w:rPr>
        <w:t>E. 7.3.2</w:t>
      </w:r>
    </w:p>
    <w:p>
      <w:r>
        <w:t>Im vorliegenden Fall hat der Beschwerdeführer sein exilpolitisches Engagement nur in bescheidenem und wenig überzeugenden Ausmass betrieben. Man darf davon ausgehen, dass die sri-lankischen Behörden kein Interesse an derartigen, politisch unbedeutenden Aktivitäten ihrer Landsleute haben, mit denen Emigranten offensichtlich eine Aufnahme in ihrem Zielland anvisieren. Das Interesse der sri-lankischen Behörden dürfte auf die eigentlichen Regimegegner beschränkt sein, welche gegebenen falls mit den zur Verfügung stehenden, nachrichtendienstlichen Personalressourcen überwacht werden, soweit dies überhaupt möglich ist. Der Beschwerdeführer gehört nicht zu dieser Kategorie von Zielpersonen. Seine exilpolitischen Aktivtäten, die sich lediglich auf eine einzige Teilnahme an einer Demonstration beschränken, verschaffen ihm kein Profil, welches die sri-lankischen Behörden als staatsfeindliche Aktivität im Ausland auffassen könnten. Vor diesem Hintergrund besteht kein hinreichender Anlass zur Annahme, dass der Beschwerdeführer bei der Rückkehr nach Sri Lanka mit ernsthaften Nachteilen von Seiten der Regierung zu rechnen hätte. Aufgrund der vorstehenden Erwägungen erübrigt es sich, auf die weiteren Ausführungen in der Eingabe des Beschwerdeführers im Einzelnen einzugehen, da sie am Ergebnis der vorgenommenen Würdigung nichts zu ändern vermögen. Es ist dem Beschwerdeführer nicht gelungen, eine Verfolgung im Sinne von Art. 3 AsylG nachzuweisen oder glaubhaft zu machen. Bei dieser Sachlage ist auch die geltend gemachte Furcht vor künftiger Verfolgung als unbegründet zu erkennen, weshalb auch das Vorliegen von subjektiven Nachfluchtgründen im Sinne von Art. 54 AsylG zu verneinen ist.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2009/50 E. 9 S. 733 mit weiteren Hinweisen).</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belegen, wenn der strikte Beweis möglich ist, und andernfalls wenigstens glaubhaft zu machen (vgl. Walter Stöckli, Asyl, in: Uebersax/Rudin/Hugi Yar/Geiser [Hrsg.], Ausländerrecht, 2. Aufl., Basel 2009, Rz. 11.148).</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9.4</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mit der Gefährdungssituation im Hinblick auf eine EMRK 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Auch die allgemeine Menschenrechtssituation in Sri Lanka lässt den Wegweisungsvollzug zum heutigen Zeitpunkt nicht als unzulässig erscheinen (vgl. BVGE 2011/24 E. 10.4.2). An dieser Einschätzung ändern auch die diesbezüglichen Vorbringen des Beschwerdeführers in der Beschwerdeschrift nichts, weshalb es sich erübrigt, weiter darauf einzugehen. Nach dem Gesagten ist der Vollzug der Wegweisung sowohl im Sinne der asyl- als auch der völkerrechtlichen Bestimmungen zulässig.</w:t>
      </w:r>
    </w:p>
    <w:p>
      <w:r>
        <w:rPr>
          <w:b/>
        </w:rPr>
        <w:t>E. 9.5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9.6</w:t>
      </w:r>
    </w:p>
    <w:p>
      <w:r>
        <w:t>In der Beschwerde wird unter anderem gerügt, das BFM habe seinem Entscheid einen veralteten Sachverhalt zugrunde gelegt, nämlich wie er sich im Oktober 2009 präsentiert habe. Die Verhältnisse hätten sich jedoch in Sri Lanka seit der Flucht des Beschwerdeführers stark geändert, der Bürgerkrieg sei seit dem Jahre 2009 beendet und die LTTE sei besiegt.</w:t>
      </w:r>
    </w:p>
    <w:p>
      <w:r>
        <w:rPr>
          <w:b/>
        </w:rPr>
        <w:t>E. 9.7</w:t>
      </w:r>
    </w:p>
    <w:p>
      <w:r>
        <w:t>Entgegen den Ausführungen auf Beschwerdeebenen hat das BFM in der angefochtenen Verfügung sehr wohl die aktuelle Lage in Sri Lanka berücksichtigt. So hat das BFM unter anderem auf das Grundsatzurteil des Bundesverwaltungsgericht (BVGE 2011/24) verwiesen, in dessen Rahmen sich das Bundesverwaltungsgericht mit der Lage in Sri Lanka auseinandergesetzt und namentlich auf die seit der letzten vom Bundesverwaltungsgericht vorgenommenen Lageanalyse vom Februar 2008 (vgl. dazu das Grundsatzurteil BVGE 2008/2) eingetretenen Ereignisse und die daraus resultierenden Entwicklungen näher einging (vgl. BVGE 2011/24 E. 6.2 S. 486 mit Hinweis auf E. 7 und E. 8). Dabei wurde eine Vielzahl von Länder- und Themenberichten sowohl internationaler, ausländischer wie auch schweizerischer Nichtregierungs- und Regierungsorganisationen sowie von ausländischen und inländischen Presseberichten ausgewertet (vgl. BVGE 2011/24 E. 6.2 S. 486 f.) Der Umstand an sich, dass sich das BFM bei seiner Beurteilung der allgemeinen Situation in Sri Lanka im Wesentlichen auf das zitierte Grundsatzurteil des Bundesverwaltungsgericht stützte, ist nicht als ungenügende Begründung aufzufassen, da die dort vorgenommen Lageanalyse umfassend und detailliert erfolgt ist und sich die Verhältnisse in Sri Lanka seither nicht wesentlich verändert haben. Das BFM hat somit das rechtliche Gehör nicht verletzt und die entsprechende Rüge kann ebenfalls nicht gehört werden. Somit sind seine Anträge, es seien weitere Abklärungen des Sachverhalts vorzunehmen, abzuweisen beziehungsweise geben die genannten Rügen keinen Anlass, die Sache zum Zweck zusätzlicher Sachverhaltserhebungen an die Vorinstanz zurückzuweisen.</w:t>
      </w:r>
    </w:p>
    <w:p>
      <w:r>
        <w:rPr>
          <w:b/>
        </w:rPr>
        <w:t>E. 9.8.1</w:t>
      </w:r>
    </w:p>
    <w:p>
      <w:r>
        <w:t>Es bleibt somit, an dieser Stelle festzuhalten, dass gemäss öffentlich zugänglichen Quellen heute im Heimatstaat des Beschwerdeführers von einer seit Ende des bewaffneten Konflikts zwischen der sri-lankischen Armee und den LTTE im Mai 2009 erheblich verbesserten Menschenrechts- und Sicherheitslage auszugehen ist, auch wenn sich das Land immer noch in einem Entwicklungsprozess befindet (vgl. BVGE 2011/24 E. 12 S. 509).</w:t>
      </w:r>
    </w:p>
    <w:p>
      <w:r>
        <w:rPr>
          <w:b/>
        </w:rPr>
        <w:t>E. 9.8.2</w:t>
      </w:r>
    </w:p>
    <w:p>
      <w:r>
        <w:t>Es ist festzustellen, dass im Distrikt Jaffna und in den südlichen Teilen der Distrikte Vavuniya und Mannar keine Situation allgemeiner Gewalt herrscht und die dortige politische Lage nicht dermassen angespannt ist, dass eine Rückkehr dorthin als generell unzumutbar eingestuft werden müsste (vgl. BVGE 2011/24 E. 13.2.1. S. 510).</w:t>
      </w:r>
    </w:p>
    <w:p>
      <w:r>
        <w:rPr>
          <w:b/>
        </w:rPr>
        <w:t>E. 10</w:t>
      </w:r>
    </w:p>
    <w:p>
      <w:r>
        <w:t>Gestützt auf die Beurteilung der allgemeinen, heute herrschenden Sicherheits- und politischen Lage in Sri Lanka sowie nach Prüfung der Akten kommt das Bundesverwaltungsgericht in Übereinstimmung mit dem BFM zum Schluss, dass der Wegweisungsvollzug des Beschwerdeführers im heutigen Zeitpunkt zumutbar ist. Gemäss den Akten lebte der Beschwerdeführer seit seiner Geburt bis im Jahr 2000 in B._______ (C._______, Jaffna-Distrikt), ausserhalb des Vanni-Gebietes. Danach begab er sich nach E._______, wo er sich bis im Jahr 2002 aufhielt. Bis zu seiner Ausreise habe er dann wieder in B._______ gelebt (vgl. Akten der Vorinstanz A10/15 S. 3). In B._______ habe er bei seinen Eltern gelebt und die letzten sieben oder acht Tage vor seiner Ausreise habe er bei seinem Onkel verbracht (vgl. A10/15 S. 3). Neben seinen Geschwistern und seiner Mutter leben noch vier Onkel und fünf Tanten sowie ein Cousin seines Vaters, mit dem er einen ganz engen Kontakt habe, in Sri Lanka (vgl. a.a.O). Ein Onkel väterlicherseits finanzierte seine Ausreise und nahm mit dem Schlepper Kontakt auf (vgl. A10/15 S. 10 und S. 12). Unter diesen Umständen ist entgegen seinen anders lautenden Aussagen auf Beschwerdeebene davon auszugehen, dass er bei einer Rückkehr über ein tragfähiges Netz verfügt, zumal seine Familie auch noch immer in B._______ lebt. Seine Mutter beziehungsweise seine Schwestern werden den jungen Beschwerdeführer zumindest vorübergehend aufnehmen und allenfalls bei der Arbeitssuche unterstützen können. Auch werden im vorliegenden Verfahren keinerlei Belege für die fehlende Möglichkeit seiner Mutter und seiner Schwestern beigebracht, den Beschwerdeführer bei sich aufzunehmen. Dieser verfügt über eine elfjährige Schulbildung (vgl. A1/12 S. 2) und fand vor seiner Ausreise mit Gelegenheitsarbeiten ein Auskommen (vgl. a.a.O). Bei der Reintegration wird er im Bedarfsfall auf die (finanzielle) Unterstützung seiner nahen Verwandten zählen können, die in Sri Lanka leben. Dies um so mehr als ein Onkel auch seine Ausreise finanziert und organisiert hat. Die Rückkehrhilfe der Schweiz wird ihm den Wiedereinstieg in Sri Lanka ebenfalls erleichtern (vgl. Art. 62 ff. der Asylverordnung 2 vom 11. August 1999 über Finanzierungsfragen [AsylV 2, SR 142.312]). Schliesslich ist darauf hinzuweisen, dass bloss soziale und wirtschaftliche Schwierigkeiten, von denen die ansässige Bevölkerung im Allgemeinen betroffen ist, nicht genügen, um eine konkrete Gefährdung im Sinne von Art. 83 Abs. 4 AuG darzustellen (vgl. BVGE 2008/34 E. 11.2.2). Entgegen den Vorbringen des aktenmässig gesunden Beschwerdeführers in der Rechtsmittelschrift ist anzunehmen, dass er bei einer Rückkehr in seinen Heimatstaat in eine existenzielle Notlage geraten wird. Der Vollzug der Wegweisung erweist sich damit sowohl in genereller als auch in individueller Hinsicht als zumutbar.</w:t>
      </w:r>
    </w:p>
    <w:p>
      <w:r>
        <w:rPr>
          <w:b/>
        </w:rPr>
        <w:t>E. 10.1</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10.2</w:t>
      </w:r>
    </w:p>
    <w:p>
      <w:r>
        <w:t>Zusammenfassend hat die Vorinstanz den Wegweisungsvollzug zu Recht als zulässig, zumutbar und möglich erachtet. Nach dem Gesagten fällt eine Anordnung der vorläufigen Aufnahme ausser Betracht (Art. 83 Abs. 1 - 4 AuG).</w:t>
      </w:r>
    </w:p>
    <w:p>
      <w:r>
        <w:rPr>
          <w:b/>
        </w:rPr>
        <w:t>E. 11</w:t>
      </w:r>
    </w:p>
    <w:p>
      <w:r>
        <w:t>Aus diesen Erwägungen ergibt sich, dass die angefochtene Verfügung Bundesrecht nicht verletzt, den rechtserheblichen Sachverhalt richtig und vollständig festgestellt und angemessen ist (Art. 106 AsylG). Die Beschwerde ist nach dem Gesagten abzuweisen.</w:t>
      </w:r>
    </w:p>
    <w:p>
      <w:r>
        <w:rPr>
          <w:b/>
        </w:rPr>
        <w:t>E. 12</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3. April 2012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