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D-151/2024 vom 27. März 2024</w:t>
      </w:r>
    </w:p>
    <w:p>
      <w:r>
        <w:t>Bundesverwaltungsgericht, 2024-03-27, FR</w:t>
      </w:r>
    </w:p>
    <w:p>
      <w:r>
        <w:rPr>
          <w:b/>
        </w:rPr>
        <w:t xml:space="preserve">Quelle: </w:t>
      </w:r>
      <w:r>
        <w:t>https://mcp.opencaselaw.ch/entscheid/bvger_D-151_2024</w:t>
      </w:r>
    </w:p>
    <w:p>
      <w:r>
        <w:t>FR: TAF D-151/2024 du 27 mars 2024</w:t>
      </w:r>
    </w:p>
    <w:p>
      <w:r>
        <w:t>IT: TAF D-151/2024 del 27 marzo 2024</w:t>
      </w:r>
    </w:p>
    <w:p>
      <w:pPr>
        <w:pStyle w:val="Heading2"/>
      </w:pPr>
      <w:r>
        <w:t>Regeste</w:t>
      </w:r>
    </w:p>
    <w:p>
      <w:r>
        <w:t>Asile et renvoi</w:t>
      </w:r>
    </w:p>
    <w:p>
      <w:pPr>
        <w:pStyle w:val="Heading2"/>
      </w:pPr>
      <w:r>
        <w:t>Erwägungen</w:t>
      </w:r>
    </w:p>
    <w:p>
      <w:r>
        <w:rPr>
          <w:b/>
        </w:rPr>
        <w:t>E. 23</w:t>
      </w:r>
    </w:p>
    <w:p>
      <w:r>
        <w:t>novembre 2023, Q. 8 s. et 55 s.), qu’il pourra ainsi retourner vivre avec (…) dans l’appartement qu’il occupait avant son départ,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tenu de collaborer à</w:t>
      </w:r>
    </w:p>
    <w:p>
      <w:r>
        <w:t>D-151/2024 Page 13 l'obtention de documents de voyage lui permettant de retourner dans son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D-151/2024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