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D-151/2017 vom 21. April 2017</w:t>
      </w:r>
    </w:p>
    <w:p>
      <w:r>
        <w:t>Bundesverwaltungsgericht, 2017-04-21, DE</w:t>
      </w:r>
    </w:p>
    <w:p>
      <w:r>
        <w:rPr>
          <w:b/>
        </w:rPr>
        <w:t xml:space="preserve">Quelle: </w:t>
      </w:r>
      <w:r>
        <w:t>https://mcp.opencaselaw.ch/entscheid/bvger_D-151_2017</w:t>
      </w:r>
    </w:p>
    <w:p>
      <w:r>
        <w:t>FR: TAF D-151/2017 du 21 avril 2017</w:t>
      </w:r>
    </w:p>
    <w:p>
      <w:r>
        <w:t>IT: TAF D-151/2017 del 21 aprile 2017</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1 VwVG Parteistellung zukommt (vgl. BVGE 2008/15 E. 3.2, mit weiteren Hinweisen). Die Beschwerdeführerin, welche ein Familienzusammenführungsgesuch gestellt und um Erlass eines entsprechenden Entscheids in Form einer anfechtbaren Verfügung ersucht hat, ist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der Beschwerdeführerin an der Vornahme der allenfalls verzögerten Amtshandlung manifestiert sich vorliegend in der bei den Akten liegenden Eingabe vom 23. August 2016, mit welcher sie um beförderliche Verfahrenserledigung ersucht hat.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3.3</w:t>
      </w:r>
    </w:p>
    <w:p>
      <w:r>
        <w:t>Gemäss Art. 37 Abs. 2 AsylG sind Entscheide, die nicht unter die Kategorien von Abs. 1 des gleichen Artikels fallen (und in welchen eine Behandlungsfrist von fünf Arbeitstagen vorgegeben wird), in der Regel innerhalb von zehn Arbeitstagen nach der Gesuchstellung zu treffen. Allerdings handelt es sich hierbei um eine Ordnungsfrist, deren Überschreiten im begründeten Einzelfall möglich ist. Dies ergibt sich aus der Formulierung, dass Entscheide "in der Regel" innerhalb von zehn Arbeitstagen nach der Gesuchstellung getroffen werden müssen. Nachfolgend ist somit zu prüfen, ob sich die Verfahrensdauer im vorliegenden Fall mit objektiven Gründen rechtfertigen lässt; unter Beachtung der bereits erwähnten Kriterien: die Komplexität der Sache, die Bedeutung der Angelegenheit für die Betroffenen, deren Verhalten und die einzelfallspezifische Entscheidungsabläufe. Nicht in die Prüfung einbezogen wird allerdings der Zeitraum nach Eingang der Rechtsverzögerungsbeschwerde beim Gericht, da dieses für die Behandlung der Beschwerde notwendigerweise das vorinstanzliche Dossier beiziehen musste, womit der Vorinstanz eine Weiterbehandlung des Asylgesuchs praktisch verhindert war.</w:t>
      </w:r>
    </w:p>
    <w:p>
      <w:r>
        <w:rPr>
          <w:b/>
        </w:rPr>
        <w:t>E. 3.4</w:t>
      </w:r>
    </w:p>
    <w:p>
      <w:r>
        <w:t>Das Gesuch um Familienzusammenführung der Beschwerdeführerin ist seit Juli 2015 hängig. Die Befragungsprotokolle der Schweizerischen Vertretung in B._______ sind Anfang November 2015 an die Vorinstanz weitergeleitet worden. Seither sind, soweit aus den Akten ersichtlich, keine Instruktionshandlungen mehr erfolgt. So antwortete das SEM denn auch nicht auf die Verfahrensstandanfrage und die Bitte um beschleunigte Behandlung des Gesuches vom 23. August 2016. Diese Untätigkeit der Vorinstanz für etwa vierzehn Monate zwischen November 2015 und Januar 2017 (Zeitpunkt der Einreichung der Rechtsverzögerungsbeschwerde) trotz Verfahrensstandanfrage der Beschwerdeführerin lässt sich objektiv nicht rechtfertigen.</w:t>
      </w:r>
    </w:p>
    <w:p>
      <w:r>
        <w:rPr>
          <w:b/>
        </w:rPr>
        <w:t>E. 3.5</w:t>
      </w:r>
    </w:p>
    <w:p>
      <w:r>
        <w:t>Dem Bundesverwaltungsgericht ist die hohe Belastung des SEM bekannt. Dass angesichts dieser Pendenzenzahl momentan nicht jedes einzelne Asylverfahren innerhalb der Behandlungsfristen von Art. 37 Abs. 2 AsylG abgeschlossen werden kann, ist nachvollziehbar. Das SEM hat zudem in der Tat bereits konkrete Massnahmen ergriffen, um den Abbau der hängigen Verfahren zu beschleunigen. Die in der Vernehmlassung dargelegten Überlegungen zur Priorisierung der Verfahren sind ebenfalls durchaus nachvollziehbar. Das Bundesgericht hat in seiner Rechtsprechung zum Rechtsverzögerungsverbot festgehalten, dass eine mangelhafte Organisation oder eine strukturelle Überbelastung übermässig lange Verfahrensdauern nicht rechtfertigen können.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Droit constitutionnel suisse, Bd. II, 2. Aufl. 2006, Rz. 1277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 Recht der Beschwerdeführerin statuiert. Sie gelten auch für nichtstreitige Verwaltungsverfahren. Das SEM kann sich deshalb zur Rechtfertigung der langen Verfahrensdauer grundsätzlich nicht auf die hohe Geschäftslast und mangelnde Ressourcen berufen. Dies gilt unabhängig davon, ob das SEM alles in seiner Macht Stehende tut, um die pendenten Verfahren so schnell wie möglich und in einer angemessenen Reihenfolge abzubauen.</w:t>
      </w:r>
    </w:p>
    <w:p>
      <w:r>
        <w:rPr>
          <w:b/>
        </w:rPr>
        <w:t>E. 3.6</w:t>
      </w:r>
    </w:p>
    <w:p>
      <w:r>
        <w:t>Die Rechtsverzögerungsbeschwerde ist gutzuheissen und die Akten sind dem SEM mit der Anweisung zu überweisen, das Familienzusammenführungsgesuch ohne weitere Verzögerung an die Hand zu nehmen und zügig abzuschliessen.</w:t>
      </w:r>
    </w:p>
    <w:p>
      <w:r>
        <w:rPr>
          <w:b/>
        </w:rPr>
        <w:t>E. 4.1</w:t>
      </w:r>
    </w:p>
    <w:p>
      <w:r>
        <w:t>Bei diesem Ausgang des Verfahrens sind keine Verfahrenskosten zu erheben (Art. 63 Abs. 1 VwVG).</w:t>
      </w:r>
    </w:p>
    <w:p>
      <w:r>
        <w:rPr>
          <w:b/>
        </w:rPr>
        <w:t>E. 4.2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insgesamt Fr. 750.- festzusetzen (Art. 14 Abs. 2 und Art. 10 Abs. 2 VGKE). Das SEM ist anzuweisen, der Beschwerdeführerin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