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D-1507/2013 vom 17. Dezember 2013</w:t>
      </w:r>
    </w:p>
    <w:p>
      <w:r>
        <w:t>Bundesverwaltungsgericht, 2013-12-17, DE</w:t>
      </w:r>
    </w:p>
    <w:p>
      <w:r>
        <w:rPr>
          <w:b/>
        </w:rPr>
        <w:t xml:space="preserve">Quelle: </w:t>
      </w:r>
      <w:r>
        <w:t>https://mcp.opencaselaw.ch/entscheid/bvger_D-1507_2013</w:t>
      </w:r>
    </w:p>
    <w:p>
      <w:r>
        <w:t>FR: TAF D-1507/2013 du 17 décembre 2013</w:t>
      </w:r>
    </w:p>
    <w:p>
      <w:r>
        <w:t>IT: TAF D-1507/2013 del 17 dicembre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83 Bst. d Ziff. 1 des Bundesgerichtsgesetzes vom 17. Juni 2005 [BGG, SR 173.110]; Art. 105 AsylG).</w:t>
      </w:r>
    </w:p>
    <w:p>
      <w:r>
        <w:rPr>
          <w:b/>
        </w:rPr>
        <w:t>E. 1.2</w:t>
      </w:r>
    </w:p>
    <w:p>
      <w:r>
        <w:t>Die Beschwerde ist frist- und formgerecht eingereicht. Der Beschwerdeführer hat am Verfahren vor der Vorinstanz teilgenommen. Der Beschwerdeführer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Das Verfahren richtet sich nach dem VwVG, soweit das VGG und das AsylG nichts anderes bestimmen (Art. 37 VGG und Art. 6 AsylG).</w:t>
      </w:r>
    </w:p>
    <w:p>
      <w:r>
        <w:rPr>
          <w:b/>
        </w:rPr>
        <w:t>E. 1.4</w:t>
      </w:r>
    </w:p>
    <w:p>
      <w:r>
        <w:t>Die Beschwerde ist im Verfahren einzelrichterlicher Zuständigkeit mit Zustimmung eines zweiten Richters respektive einer zweiten Richterin zu behandeln, weil sie sich im Ergebnis als offensichtlich begründet erweist (Art. 111 Bst. e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Verfügung vom 11. Februar 2013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demnach im Sinne der Erwägungen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4.1</w:t>
      </w:r>
    </w:p>
    <w:p>
      <w:r>
        <w:t>Bei diesem Ausgang des Verfahrens sind keine Kosten zu erheben (Art. 63 Abs. 1 und 2 VwVG). Mithin ist dem Beschwerdeführer der am (...) 2013 geleistete Kostenvorschuss von Fr. 600.- zurückzuerstatten.</w:t>
      </w:r>
    </w:p>
    <w:p>
      <w:r>
        <w:rPr>
          <w:b/>
        </w:rPr>
        <w:t>E. 4.2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ihnen notwendigerweise erwachsenen Parteikosten zuzusprechen. Es wurde keine Kostennote zu den Akten gereicht. Der notwendige Vertretungsaufwand lässt sich indes aufgrund der Aktenlage zuverlässig abschätzen, weshalb auf die Einholung einer solchen verzichtet werden kann (Art. 14 Abs. 2 in fine VGKE). Gestützt auf die in Betracht zu ziehenden Bemessungsfaktoren (Art. 9-11 und 13 VGKE) ist dem Beschwerdeführer zulasten der Vorinstanz eine Parteientschädigung von insgesamt Fr. 2000.- (inkl. Auslagen und MWSt)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