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D-1503/2013 vom 22. Mai 2014</w:t>
      </w:r>
    </w:p>
    <w:p>
      <w:r>
        <w:t>Bundesverwaltungsgericht, 2014-05-22, DE</w:t>
      </w:r>
    </w:p>
    <w:p>
      <w:r>
        <w:rPr>
          <w:b/>
        </w:rPr>
        <w:t xml:space="preserve">Quelle: </w:t>
      </w:r>
      <w:r>
        <w:t>https://mcp.opencaselaw.ch/entscheid/bvger_D-1503_2013</w:t>
      </w:r>
    </w:p>
    <w:p>
      <w:r>
        <w:t>FR: TAF D-1503/2013 du 22 mai 2014</w:t>
      </w:r>
    </w:p>
    <w:p>
      <w:r>
        <w:t>IT: TAF D-1503/2013 del 22 maggio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Es ist festzustellen, dass sich die vorliegende Beschwerde gegen die Nichtfeststellung der Flüchtlingseigenschaft, die Nichtgewährung von Asyl und die Anordnung der Wegweisung aus der Schweiz als solche richtet (Dispositivziffer 1 bis 3 der angefochtenen Verfügung). Die Dispositivziffern 4 bis 7 der Verfügung der Vorinstanz vom 22. Februar 2013 betreffend der Anordnung einer vorläufigen Aufnahme wegen Unzumutbarkeit sind unangefochten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abweisenden Verfügung vom 22. Februar 2013 wurde im Wesentlichen ausgeführt, die Vorbringen der Beschwerdeführerin (Mutter) seien widersprüchlich, unsubstantiiert, realitätsfremd und unlogisch ausgefallen. So habe die Beschwerdeführerin angegeben, lediglich zweimal in G.______ gewesen zu sein, obwohl ihre Grosseltern angeblich dort wohnhaft seien. Ebenso unrealistisch erscheine es, dass sie I. nur zweimal gesehen, mit diesem jedoch während neun Jahren in geheimem telefonischen Kontakt gestanden haben will. Weiter habe sie in der BzP einerseits zu Protokoll gegeben, ihre Eltern seien gegen die Heirat gewesen, weil I. aus einem anderen Stamm sei, währenddem sie in der Anhörung vorgebracht habe, eine Heirat sei nicht möglich gewesen, weil I. Araber und sie Kurdin sei. Zudem sei sie nicht in der Lage gewesen darzulegen, wie und wann sie von der Ausreise von I. erfahren habe. Auch sei nicht nachvollziehbar, warum die Beschwerdeführerin und I. erst nach etwa acht Jahren eine gemeinsame Zukunft respektive ihre Ausreise ins Auge gefasst hätten. Insgesamt seien die Vorbringen unglaubhaft, weshalb deren Asylrelevanz nicht zu prüfen sei.</w:t>
      </w:r>
    </w:p>
    <w:p>
      <w:r>
        <w:rPr>
          <w:b/>
        </w:rPr>
        <w:t>E. 5.2</w:t>
      </w:r>
    </w:p>
    <w:p>
      <w:r>
        <w:t>In der Beschwerdeschrift vom 20. März 2013 wurde im Wesentlichen entgegengehalten, die Vorinstanz habe den Sachverhalt nicht richtig abgeklärt. An der BzP sei ein männlicher Übersetzer anwesend gewesen, weshalb die Beschwerdeführerin nicht habe erwähnen können, dass sie mit I., als sie ihn das zweite Mal in G.______ besucht habe, sexuellen Kontakt gehabt habe. Da sie diesbezüglich in der BzP nichts habe erwähnen können, habe sie auch bei der Anhörung nichts gesagt. Bereits der Umstand, dass die Beschwerdeführerin aus G.______ alleine in die Schweiz gekommen sei, deute auf eine geschlechtsspezifische Verfolgung hin, weshalb das BFM verpflichtet gewesen wäre, die Befragung durch eine reines Frauenteam durchzuführen. Sodann seien die Misshandlungen durch ihren Vater und Bruder sowie die Selbstmordversuche nicht weiter thematisiert worden. Schliesslich gelte es auch zu beachten, dass die Heirat ohne Einwilligung der Eltern sowie der Umstand, dass die Beschwerdeführerin ein Kind eines Arabers zur Welt gebracht habe, zu einem Ehrenmord führen könnten, weshalb die Vorinstanz verpflichtet gewesen wäre, diesen objektiven Nachfluchtgrund näher abzuklären. Sodann sei die Übersetzung mangelhaft. Sollte wider Erwarten keine Rückweisung an die Vorinstanz vorgenommen werden, so sei anzumerken, dass die Vorbringen sehr wohl glaubhaft seien. Einerseits müssten die Vorbringen im Lichte des nunmehr aktenkundigen vorehelichen sexuellen Kontaktes gesehen werden. Andererseits müsse sich die Vorinstanz der patriarchalischen und fundamentalistischen Gesellschaftsstruktur im Irak bewusst sein; es könne nicht angehen, dass die Vorinstanz der Beschwerdeführerin Widersprüche betreffend des grundsätzlich konsistenten Vorbringens, wonach die Eltern auf einem Ehemann aus dem familiären Umfeld bestanden hätten, konstruiere. Der Bruder von I. versuche bezüglich der Zwangsheirat noch ein Beweismittel zu beschaffen. Zudem sei durch das eingereichte Arztzeugnis auch belegt, dass I. aufgrund der grossen Sorge an psychosomatischen Beschwerden gelitten habe. Bereits vor seiner Flucht habe I. zweimal um die Hand der Beschwerdeführerin angehalten. Auf der Flucht sei es ihm nicht möglich gewesen, mit der Beschwerdeführerin Kontakt aufzunehmen. Nach seiner Ankunft in der Schweiz habe er respektive seine Mutter und seine Schwester erneut um die Hand der Beschwerdeführerin angehalten. Da I. erst noch Geld sparen musste und sich die Beschwerdeführerin nicht frei bewegen konnte, habe die Organisation der Ausreise länger in Anspruch genommen.</w:t>
      </w:r>
    </w:p>
    <w:p>
      <w:r>
        <w:rPr>
          <w:b/>
        </w:rPr>
        <w:t>E. 5.3</w:t>
      </w:r>
    </w:p>
    <w:p>
      <w:r>
        <w:t>In der Vernehmlassung führte das BFM im Wesentlichen aus, das BFM sei seiner Pflicht im Sinne von Art. 6 der Asylverordnung 1 vom 11. August 1999 (AsylV 1, SR 142.311) vollumfänglich nachgekommen und habe die Beschwerdeführerin mit einem gleichgeschlechtlichen Team angehört. Der angebliche voreheliche sexuelle Kontakt erscheine als nachgeschoben und konstruiert. Sodann erstaune es, wenn auf Beschwerdeebene hervorgehoben werde, dass die Beschwerdeführerin Analphabetin sei und aus konservativen kurdischen Kreise stamme, sie andererseits aber fliessend Arabisch spreche. Vor dem Hintergrund des Analphabetismus erscheine es auch nicht nachvollziehbar, dass die Beschwerdeführerin I. jeweils angerufen und nach dessen Rückruf die Anrufe umgehend gelöscht habe. Sodann sei es nicht nachvollziehbar, warum die Beschwerdeführerin nicht früher ausgereist sei, habe sie doch selber zu Protokoll gegeben, dass sie jeweils alleine Zuhause gewesen sei und Zeit zum Telefonieren gehabt habe. Schliesslich habe die Beschwerdeführerin die Richtigkeit der Übersetzung schriftlich bestätigt, weshalb die pauschale Rüge betreffend Übersetzungsqualität fehlgehe. Die eingereichte Gerichtsurkunde entfalte aufgrund hoher Fälschungsanfälligkeit keinen Beweiswert.</w:t>
      </w:r>
    </w:p>
    <w:p>
      <w:r>
        <w:rPr>
          <w:b/>
        </w:rPr>
        <w:t>E. 5.4</w:t>
      </w:r>
    </w:p>
    <w:p>
      <w:r>
        <w:t>In der Replikeingabe wurde im Wesentlichen entgegengehalten, sie habe Arabisch im Fernsehen und durch Gespräche mit ihrer syrischen Schwägerin gelernt. Die Anrufe von I. habe sie auf ihrem Mobiltelefon löschen können, weil sie bei den Männern den Gebrauch des Gerätes habe beobachten können. Sodann gehe der Einwand der Vorinstanz fehl, wenn aus einem kurzen ungestörten Augenblick zum Telefonieren geschlossen werde, die Beschwerdeführerin hätte schon früher flüchten können. Der Beweiswert des Gerichtsurkunde sei gross, da es sich um ein echtes Dokument handle, welches nur schwer käuflich erworben werden könne.</w:t>
      </w:r>
    </w:p>
    <w:p>
      <w:r>
        <w:rPr>
          <w:b/>
        </w:rPr>
        <w:t>E. 6.1</w:t>
      </w:r>
    </w:p>
    <w:p>
      <w:r>
        <w:t>In der Beschwerde werden formelle Rügen erhoben, welche vorab zu beurteilen sind, da sie allenfalls geeignet sind, eine Kassation der vorinstanzlichen Verfügung zu bewirken. Die Beschwerdeführerin stellte den Antrag, die angefochtene Verfügung sei wegen unvollständiger Sachverhaltsfeststellung aufzuheben und die Akten zur Vornahme entsprechender Abklärungen an die Vorinstanz zurückzuweisen.</w:t>
      </w:r>
    </w:p>
    <w:p>
      <w:r>
        <w:rPr>
          <w:b/>
        </w:rPr>
        <w:t>E. 6.2</w:t>
      </w:r>
    </w:p>
    <w:p>
      <w:r>
        <w:t>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der Asylsuchenden (vgl. Art. 8 AsylG).</w:t>
      </w:r>
    </w:p>
    <w:p>
      <w:r>
        <w:rPr>
          <w:b/>
        </w:rPr>
        <w:t>E. 6.3</w:t>
      </w:r>
    </w:p>
    <w:p>
      <w:r>
        <w:t>Hierzu ist festzustellen, dass die Vorinstanz - entgegen den Ausführungen in der Beschwerde - nicht verpflichtet gewesen ist, die Befragung durch ein Frauenteam durchzuführen. Die pauschale Aussage, wonach bereits der Umstand, dass eine junge Frau aus dem Irak im heiratsfähigen Alter alleine flüchte auf eine geschlechtsspezifische Verfolgung hindeute, vermag so nicht zu überzeugen, ist es doch vielmehr eine Frage der Umstände des konkreten Einzelfalls. Diese Umstände werden zunächst in der summarischen Befragung ermittelt. Sollten sich dabei konkrete Hinweise auf einen geschlechtsspezifische Verfolgung ergeben, ist die Vorinstanz gestützt auf Art. 17 Abs. 2 AsylG i.V.m. Art. 6 AsylV1 verpflichtet, diesem Aspekt gebührend Rechnung zu tragen. Im vorliegenden Verfahren wurde die Beschwerdeführerin von einem Frauenteam angehört, weshalb diesbezüglich keine Verfehlungen der Vorinstanz auszumachen sind. Ebenso unbegründet erweist sich die in der Beschwerde erhobene Rüge, wonach die Vorinstanz den Untersuchungsgrundsatz verletzt und den Sachverhalt nicht richtig abgeklärt habe, da die häusliche Gewalt nicht näher abgeklärt worden sei. Einerseits erschöpfen sich die Aussagen der Beschwerdeführerin diesbezüglich in den allgemeinen Aussagen, es sei üblich, "dass man uns nicht fragt, ob wir heiraten wollen oder nicht. Jeden Tag Quälereien und Schlägerei" oder, dass ihre Familie "etwas zurückgeblieben sei". Andererseits geht aus den vorliegenden Akten nicht hervor, inwiefern die Vorinstanz den Untersuchungsgrundsatz verletzt haben soll, sind den Protokollen doch alle wesentlichen Punkte zu entnehmen. Auch das Gericht erachtet den rechtserheblichen Sachverhalt als erstellt. Zur Rüge der mangelhaften Übersetzungsqualität ist im Einklagn mit der Vorinstanz anzufügen, dass die Beschwerdeführerin die Richtigkeit der Angaben unterschriftlich bestätigt hat.</w:t>
      </w:r>
    </w:p>
    <w:p>
      <w:r>
        <w:rPr>
          <w:b/>
        </w:rPr>
        <w:t>E. 7.1</w:t>
      </w:r>
    </w:p>
    <w:p>
      <w:r>
        <w:t>Die Vorinstanz begründete die Ablehnung des Asylgesuchs mit der Unglaubhaftigkeit der Vorbringen der Beschwerdeführerin. 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AsylG; Entscheidungen und Mitteilungen der Schweizerischen Asylrekurskommission [EMARK] 2004 Nr. 1, S. 4f., E. 5a).</w:t>
      </w:r>
    </w:p>
    <w:p>
      <w:r>
        <w:rPr>
          <w:b/>
        </w:rPr>
        <w:t>E. 7.2</w:t>
      </w:r>
    </w:p>
    <w:p>
      <w:r>
        <w:t>Wie nachfolgend aufzuzeigen ist, kommt das Bundesverwaltungsgericht nach Würdigung der Akten zum Schluss, dass die Erwägungen der Vorinstanz zur fehlenden Glaubhaftigkeit der Vorbringen der Beschwerdeführerin zutreffen und die Ausführungen in der Beschwerdeschrift sowie die mit dieser eingereichten Beweismittel nicht geeignet sind, die Einschätzung des BFM in einem anderen Licht erscheinen zu lassen. Die Ausführungen der Beschwerdeführerin zu wesentlichen Vorbringen erscheinen unsubstantiiert und konstruiert. So erachtet es auch das Gericht als realitätsfremd, wenn die Beschwerdeführerin angibt, sie sei lediglich zweimal in ihrem Leben in G.______ gewesen, obwohl ihre Grosseltern dort gewohnt haben sollen (act. A 18/14 S. 5). Ebenso unglaubhaft erscheint es, wenn die Beschwerdeführerin aussagt, sie hätten sich einmal oder zweimal gesehen; danach hätten sie sich geliebt und während neun Jahren per Telefon eine Liebesbeziehung gehabt. Auf die Frage, was sie jeweils am Telefon miteinander gesprochen hätten, gab sie zu Protokoll, dies sei jeweils ein normales Gespräch über die Liebe gewesen (act. A 18/14 S. 7). Angesichts dessen, dass die Beschwerdeführerin mit I. während angeblich neun Jahren eine Liebesbeziehung per Telefon geführt haben will und es Liebe auf den ersten Blick gewesen sein soll, vermögen die unsubstantiierten Angaben der Beschwerdeführerin nicht zu überzeugen. Der auf Beschwerdeebene geltend gemachte voreheliche Kontakt erscheint deshalb ebenso unglaubhaft. Im Übrigen kann diesbezüglich auf die zutreffenden Ausführungen der Vorinstanz verwiesen werden.</w:t>
      </w:r>
    </w:p>
    <w:p>
      <w:r>
        <w:rPr>
          <w:b/>
        </w:rPr>
        <w:t>E. 7.3</w:t>
      </w:r>
    </w:p>
    <w:p>
      <w:r>
        <w:t>Währenddem das Gericht nicht in Abrede stellen will, dass eine drohende Zwangsverheiratung und Ehrenmord ernsthafte Nachteile mit flüchtlingsrechtlicher Relevanz darstellen können, sind im vorliegenden Fall auch diesbezüglich erhebliche Zweifel an der Glaubhaftigkeit der Vorbringen der Beschwerdeführerin auszumachen. Die Beschwerdeführerin vermochte keine substantiierten Angaben betreffend ihres angeblich sehr konservativen familiären Umfelds und den erlittenen Misshandlungen zu machen. Ihre Aussagen beschränken sich auf, ihre Familie sei "ein bisschen zurückgeblieben" und es sei normal "dass man uns nicht fragt, ob wir heiraten wollen oder nicht" (act. A 18/14 S. 9 und 7). Schliesslich brachte die Beschwerdeführerin in der Befragung hervor, sie habe sich zwei oder drei Male versucht das Leben zu nehmen, was in der Anhörung gänzlich unerwähnt blieb - ein Umstand, der entgegen den Ausführungen in der Beschwerdeschrift, nicht der Vorinstanz angelastet werden kann. Angesichts der Trageweite dieses Entscheides wären auch diesbezüglich substantiiertere und konsistentere Angaben der Beschwerdeführerin zu erwarten gewesen. Schliesslich vermag auch das auf Beschwerdeebene eingereichte Beweismittel aufgrund der hohen Fälschungsanfälligkeit nichts an der Glaubhaftigkeit der Aussagen der Beschwerdeführerin zu ihrer drohenden Zwangsheirat zu ändern.</w:t>
      </w:r>
    </w:p>
    <w:p>
      <w:r>
        <w:rPr>
          <w:b/>
        </w:rPr>
        <w:t>E. 7.4</w:t>
      </w:r>
    </w:p>
    <w:p>
      <w:r>
        <w:t>Zusammenfassend ist festzuhalten, dass die Vorbringen der Beschwerdeführerin den Anforderungen an die Glaubhaftigkeit im Sinne von Art. 7 AsylG nicht standzuhalten vermögen, so dass deren Asylrelevanz im Sinne von Art. 3 AsylG nicht zu prüfen ist. Nach dem Gesagten erübrigt es sich, auf die Ausführungen und Einwände in der Beschwerde beziehungsweise die eingereichten Beweismittel weiter einzugehen, weil sie nicht zu einer von der Vorinstanz veränderten Betrachtungsweise führen. Das BFM hat das Asylgesuch der Beschwerdeführerin demnach zu Recht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Beschwerdeführerinnen aufzuerlegen (Art. 63 Abs. 1 VwVG). Den Beschwerdeführerinnen ist jedoch mit Verfügung vom 27. März 2013 die unentgeltliche Rechtspflege im Sinne von Art. 65 Abs. 1 VwVG gewährt worden, weshalb keine Verfahrenskosten zu erheben sind.</w:t>
      </w:r>
    </w:p>
    <w:p>
      <w:r>
        <w:rPr>
          <w:b/>
        </w:rPr>
        <w:t>E. 9.2</w:t>
      </w:r>
    </w:p>
    <w:p>
      <w:r>
        <w:t>Den Beschwerdeführerinnen ist - ebenfalls mit Zwischenverfügung vom 27. März 2013 - die unentgeltliche Rechtsverbeiständung i.S. von Art. 65 Abs. 2 VwVG zugesprochen worden und Rechtsanwältin Susanne Gnekow wurde als unentgeltliche Rechtsbeiständin eingesetzt. Die seit dem 13. März 2013 mandatierte Rechtsvertreterin hat mit Eingabe vom 31. Juli 2013 eine Kostennote über Fr. (...) (inklusive Auslagen und Mehrwertsteuer) zu den Akten gereicht, die als angemessen erscheint (Art. 10 Abs. 2 und Art. 14 des Reglements vom 21. Februar 2008 über die Kosten und Entschädigungen vor dem Bundesverwaltungsgericht [VGKE, SR 173.320.2]). Gestützt auf die in Betracht zu ziehenden Bemessungsfaktoren (Art. 9-13 VGKE), der Kostennote und der Eingabe vom 26. Februar 2014 ist von einem Gesamtbetrag von Fr. (...) auszugehen. Demnach ist der unentgeltlichen Rechtsbeiständin, Rechtsanwältin Susanne Gnekow, zulasten der Gerichtskasse ein Honorar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