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D-1500/2010 vom 10. November 2010</w:t>
      </w:r>
    </w:p>
    <w:p>
      <w:r>
        <w:t>Bundesverwaltungsgericht, 2010-11-10, DE</w:t>
      </w:r>
    </w:p>
    <w:p>
      <w:r>
        <w:rPr>
          <w:b/>
        </w:rPr>
        <w:t xml:space="preserve">Quelle: </w:t>
      </w:r>
      <w:r>
        <w:t>https://mcp.opencaselaw.ch/entscheid/bvger_D-1500_2010</w:t>
      </w:r>
    </w:p>
    <w:p>
      <w:r>
        <w:t>FR: TAF D-1500/2010 du 10 novembre 2010</w:t>
      </w:r>
    </w:p>
    <w:p>
      <w:r>
        <w:t>IT: TAF D-1500/2010 del 10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festzuhalten, dass die Behauptung des Beschwerdeführers in der Rechtsmittelschrift, wonach sich der von der Vorinstanz aufgeführte Widerspruch bezüglich seiner Ausreise aus Syrien mit sprachlichen Kommunikationsproblemen erklären lasse, das Gericht nicht überzeugt, zumal dieses Vorbringen in den Akten keine Stütze findet. Es ist darauf hinzuweisen, dass der Beschwerdeführer den Wortlaut sämtlicher Protokolle mit seiner Unterschrift bestätigt hat und sich deshalb seine Aussagen grundsätzlich entgegenhalten lassen muss, zumal er die Übersetzer bei beiden Befragungen gut beziehungsweise sehr gut verstanden haben will (vgl. Akten BFM A 1/12, S. 9; A 16/16, S. 1).</w:t>
      </w:r>
    </w:p>
    <w:p>
      <w:r>
        <w:rPr>
          <w:b/>
        </w:rPr>
        <w:t>E. 5.2</w:t>
      </w:r>
    </w:p>
    <w:p>
      <w:r>
        <w:t>Nach Prüfung der Akten durch das Gericht ist - in Übereinstimmung mit der Vorinstanz - festzustellen, dass die Asylvorbringen des Beschwerdeführers den Anforderungen an die Glaubhaftigkeit gemäss Art. 7 AsylG nicht standzuhalten vermögen beziehungsweise nicht asylrelevant sind, weshalb diesbezüglich vorab auf die ausführlichen und zutreffenden vorinstanzlichen Erwägungen zu verweisen ist (vgl. Ziffer I, Bst. C. vorstehend). Die Vorbringen in der Rechtsmittelschrift sind nicht geeignet, eine Änderung der vorinstanzlichen Verfügung zu bewirken. Der Argumentation des BFM werden keine stichhaltigen und substanziierten Gründe entgegengesetzt. Insbesondere vermag der Einwand in der Beschwerde, die syrischen Sicherheitsdienste würden nicht nach der Logik des Normalbürgers handeln, da sonst ihr Vorgehen für jedermann vorhersehbar wäre, das vom Beschwerdeführer geschilderte dilettantische Vorgehen der syrischen Behörden bezüglich deren Suche nach seiner Person nicht plausibel zu machen, zumal gerichtsnotorisch ist, dass die Sicherheitsdienste in Syrien sehr effizient arbeiten. Auch die Tatsache, dass der Beschwerdeführer gemäss der Botschaftsabklärung vom 11. Januar 2010 von den syrischen Behörden nicht gesucht wird, spricht gegen die behauptete Verfolgung beziehungsweise die Suche nach seiner Person, zumal vorliegend keine Anhaltspunkte bestehen oder triftige Gründe geltend gemacht werden, aufgrund derer sich generelle Zwei-fel an der Zuverlässigkeit der Abklärungen der Schweizerischen Ver-tretung in Damaskus ergeben könnten. Übereinstimmend mit Vorinstanz ist überdies darauf hinzuweisen, dass die vorgebrachten Benachteiligungen, welchen der Beschwerdeführer als staatenloser Kur-de in Syrien - als sogenannter Ajnabi - ausgesetzt war, den Anfor-derungen an die Asylrelevanz nicht standhalten (vgl. Entscheidungen und Mitteilungen der Schweizerischen Asylrekurskommission [EMARK] 2002 Nr. 23 E. 4d). Soweit der Beschwerdeführer in der Beschwerdeschrift sinngemäss geltend macht, er habe sich auch in exilpolitischer Hinsicht in der Schweiz exponiert, ist Folgendes festzuhalten: Den Erkenntnissen des Bundesverwaltungsgerichts zufolge trifft es zwar zu, dass sich die syrischen Behörden für die exilpolitischen Aktivitäten ihrer Staatsangehörigen interessieren. Es ist jedoch davon auszugehen, dass sich die syrischen Geheimdienste auf die Erfassung von Personen kon-zentrieren, die über die massentypischen und niedrigprofilierten Erscheinungsformen exilpolitischer Proteste hinaus Funktionen wahrgenommen und/oder Aktivitäten entwickelt haben, die die Person aus der Masse der mit dem Regime Unzufriedenen herausheben und als ernsthaften und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des Inhalts der in der Öffent-lichkeit abgegebenen Erklärungen den Eindruck erweckt, dass der Asylsuchende zu einer Gefahr für den Bestand des syrischen Regimes wird. Aufgrund der mit der Beschwerde nachgereichten Beweismittel ist nicht davon auszugehen, das politische Engagement des Be-schwerdeführers in der Schweiz verleihe ihm das Profil eines enga-gierten, gewichtigen und staatsgefährdenden sowie mit Führungs-funktion ausgestatteten Exilaktivisten, der im Fokus der syrischen Behörden steht, zumal die Azadi-Partei selbst ihn lediglich als Mitglied bezeichnet (vgl. Bestätigungsschreiben der schweizerischen Organi-sation der Azadi-Partei). Auch aus den eigenen Aussagen des Be-schwerdeführers lässt sich nicht entnehmen, dass er innerhalb dieser Organisationen eine Führungsposition inne hätte oder Verantwortung oder besondere Aufgaben übernehmen würde beziehungsweise übernommen hätte. Die geltend gemachten exilpolitischen Tätigkeiten des Beschwerdeführers (Teilnahme an regimekritischen Demonstra-tionen) gehen nicht über das hinaus, was viele syrische Staats-angehörige im Rahmen exilpolitischer Aktionen ausführen, ohne dass von einer relevanten Gefährdung dieser Personen auszugehen wäre. An dieser Einschätzung vermag auch das Bestätigungsschreiben der schweizerischen Organisation der Azadi-Partei nichts zu ändern, da diesem Schreiben mit der unbelegten und nicht einmal näher ausge-führten Behauptung, das Leben des Beschwerdeführers sei gefährdet, falls er nach Syrien ausgeschafft würde, keine Beweiskraft zukommt.</w:t>
      </w:r>
    </w:p>
    <w:p>
      <w:r>
        <w:rPr>
          <w:b/>
        </w:rPr>
        <w:t>E. 5.3</w:t>
      </w:r>
    </w:p>
    <w:p>
      <w:r>
        <w:t>Zusammenfassend ist festzustellen, dass es dem Beschwerdeführer nicht gelungen ist nachzuweisen oder zumindest glaubhaft zu machen, dass er in der Heimat ernsthafte Nachteile gemäss Art. 3 AsylG erlitten hat oder solche bei der Ausreise zu befürchten hatte oder im Falle einer Rückkehr nach Syrien befürchten müsste. Der Beschwerdeführer vermag mit seinen Beschwerdevorbringen und den eingereichten Beweismitteln zu keiner anderen Betrachtungsweise zu führen, weshalb es sich erübrigt, weiter darauf einzugehen. Das BFM hat demnach zu Recht die Flüchtlingseigenschaft des Beschwerdeführers verneint und das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Entscheide des Schweizerischen Bundesverwaltungsgerichts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Syrien ist demnach unter dem Aspekt von Art. 5 AsylG rechtmässig. Sodann ergeben sich weder aus den Aussagen des Beschwerdeführers noch aus den Akten Anhaltspunkte dafür, dass er für den Fall einer Ausschaffung nach Syrien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Syrien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In Bezug auf die allgemeine Sicherheits- und Menschenrechtslage in Syrien kommt das Bundesverwaltungsgericht insgesamt zum Schluss, dass in Syrien keine Kriegs- oder Bürgerkriegssituation und auch keine Situation allgemeiner Gewalt herrscht und ein Vollzug der Wegweisung grundsätzlich nicht unzumutbar erscheint.</w:t>
      </w:r>
    </w:p>
    <w:p>
      <w:r>
        <w:rPr>
          <w:b/>
        </w:rPr>
        <w:t>E. 7.3.3</w:t>
      </w:r>
    </w:p>
    <w:p>
      <w:r>
        <w:t>Vorliegend sind den Akten auch keine Anhaltspunkte für individuelle Unzumutbarkeitsindizien zu entnehmen. Der - soweit den Akten zu entnehmen ist - gesunde, ledige Beschwerdeführer hat die prägenden Kinder- und Jugendjahre in Syrien verbracht, wo er auch die Schule besucht hat. Zudem verfügt er über jahrelange Berufserfahrung als Satelliten-Installateur, weshalb anzunehmen ist, er könne sich in seiner Heimat wieder wirtschaftlich integrieren. Gemäss seinen Angaben leben überdies seine Eltern sowie seine sechs Geschwister nach wie vor in Syrien. Vor diesem Hintergrund ist davon auszugehen, dass der Beschwerdeführer in seinem Heimatland über ein soziales Beziehungsnetz verfügt, welches ihm eine Reintegration erleichtern kann. Blosse soziale und wirtschaftliche Schwierigkeiten, von denen die ansässige Bevölkerung im Allgemeinen betroffen ist, genügen nicht, um eine konkrete Gefährdung im Sinne von Art. 83 Abs. 4 AuG darzustellen (vgl. die weiterhin zutreffende Praxis der ARK in EMARK 1996 Nr. 2 S. 12 f. und EMARK 2005 Nr. 24 E. 10.1 S. 215). Überdies spricht weder die kurdische Ethnie des Beschwerdeführers noch sein Status als Ajnabi gemäss konstanter Praxis des Bundesverwaltungsgerichts per se gegen die Zumutbarkeit des Wegweisungs-vollzugs nach Syrien (vgl. EMARK 2002 Nr. 23 E. 4d). Nach dem Gesagten ist der Vollzug der Wegweisung somit auch als zumutbar zu bezeichnen.</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9. April 2010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