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D-14/2015 vom 27. Oktober 2016</w:t>
      </w:r>
    </w:p>
    <w:p>
      <w:r>
        <w:t>Bundesverwaltungsgericht, 2016-10-27, DE</w:t>
      </w:r>
    </w:p>
    <w:p>
      <w:r>
        <w:rPr>
          <w:b/>
        </w:rPr>
        <w:t xml:space="preserve">Quelle: </w:t>
      </w:r>
      <w:r>
        <w:t>https://mcp.opencaselaw.ch/entscheid/bvger_D-14_2015</w:t>
      </w:r>
    </w:p>
    <w:p>
      <w:r>
        <w:t>FR: TAF D-14/2015 du 27 octobre 2016</w:t>
      </w:r>
    </w:p>
    <w:p>
      <w:r>
        <w:t>IT: TAF D-14/2015 del 27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w:t>
      </w:r>
    </w:p>
    <w:p>
      <w:r>
        <w:t>Im unter BVGE 2014/12 publizierten Urteil vom 20. Mai 2014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habe und diese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5</w:t>
      </w:r>
    </w:p>
    <w:p>
      <w:r>
        <w:t>Aufgrund der vorliegenden Aktenlage ist davon auszugehen, dass der Beschwerdeführer seine wahre Herkunft und auch seinen Reiseweg zu verschleiern versucht, weshalb die vorgebrachte Sachverhaltsdarstellung nicht zu überzeugen vermag.</w:t>
      </w:r>
    </w:p>
    <w:p>
      <w:r>
        <w:rPr>
          <w:b/>
        </w:rPr>
        <w:t>E. 5.1</w:t>
      </w:r>
    </w:p>
    <w:p>
      <w:r>
        <w:t>Die Vorinstanz hat mit der durch einen Sachverständigen der Fachstelle Lingua vorgenommenen linguistischen Analyse und der Evaluation der landeskundlichen Kenntnisse die Zweifel an der behaupteten Herkunft des Beschwerdeführers begründet.</w:t>
      </w:r>
    </w:p>
    <w:p>
      <w:r>
        <w:rPr>
          <w:b/>
        </w:rPr>
        <w:t>E. 5.1.1</w:t>
      </w:r>
    </w:p>
    <w:p>
      <w:r>
        <w:t>In der Beschwerde wird - wie bereits in der Stellungnahme vom 30. Oktober 2014 - geltend gemacht, die Analyse sei nicht fundiert, und die fachlichen Qualifikationen des Sachverständigen würden bezweifelt. Dem Gutachten dürfe daher kein Beweiswert zugesprochen werde. Die ihn telefonisch befragende Frau habe nicht in G._______, sondern "in einem strengen H._______" gesprochen, worauf er versucht habe, seine Sprache an diejenige der Befragerin anzupassen, damit sie ihn gut verstehen könne (vgl. Stellungnahme vom 30. Oktober 2014 S. 3). Er möchte deshalb in einer weiteren Befragung zeigen können, dass er "G._______ D.________" spreche, wofür aber jemand aus seiner Region beauftragt werden müsste. Nur beim persönlichen Kontakt sei genau erkennbar, ob ein "Neuankömmling" direkt aus dem Tibet komme oder im Exil sozialisiert worden sei (vgl. Beschwerde S. 4 sowie Replik vom 5. Mai 2015). Entgegen der Auffassung des Beschwerdeführers sind jedoch weder die Qualifikationen der Befragerin und der sachverständigen Person noch die Nachvollziehbarkeit und Schlüssigkeit der Expertise zu beanstanden. Das SEM bemerkte in seiner Vernehmlassung vom 13. März 2015 zutreffend, der Beschwerdeführer habe keine konkreten Mängel in der Analyse und an der Qualifikation anzugeben vermögen und sein - ohne Nennung konkreter Beispiele angebrachter - Einwand, seine Sprache derjenigen der ihn befragenden Person angepasst zu haben, müsse als Schutzbehauptung gewertet werden. Soweit der Beschwerdeführer im späteren Verlauf des Beschwerdeverfahrens (vgl. Bst. J. des Sachverhalts) den Beweiswert der Lingua-Analyse mittels Einreichung eines ärztlichen Berichts beziehungsweise mit der Begründung einer bei ihm bestehenden einseitigen Schwerhörigkeit beseitigen will, ist auf die zutreffenden Ausführungen des SEM in seiner ergänzenden Vernehmlassung des SEM vom 20. April 2015 zu verweisen (vgl. Bst. L. des Sachverhalts). Überdies ist festzuhalten, dass sich auch aus den Akten keinerlei Hinweise auf akustisch oder sprachlich begründete Verständigungsschwierigkeiten ergeben. Das Begehren um Durchführung einer weiteren Befragung mit einer Person, die den "gleichen Dialekt aus dem Bezirk D.________" spreche beziehungsweise um Rückweisung der Sache an die Vorinstanz zum Zweck der Durchführung einer solchen Befragung (vgl. insbesondere Replik vom 5. Mai 2015 S. 2) ist daher abzuweisen.</w:t>
      </w:r>
    </w:p>
    <w:p>
      <w:r>
        <w:rPr>
          <w:b/>
        </w:rPr>
        <w:t>E. 5.1.2</w:t>
      </w:r>
    </w:p>
    <w:p>
      <w:r>
        <w:t>Wie in der angefochtenen Verfügung (und bereits im Schreiben vom 17. Oktober 2014) eingehend dargelegt wurde, entsprechen die Kenntnisse des Beschwerdeführers nicht dem Wissen einer Person, welche ihr ganzes Leben in der geltend gemachten Region verbracht hat. Insbesondere versteht er die für Nahrungsmittel und im Bereich Geographie und Verkehr verwendeten chinesischen Lehnwörter nicht, obwohl gerade in der Provinz J._______ diese Wörter ins Alltagstibetisch übergangen sind. Die inkonsistente Sprechweise und die Unvertrautheit mit üblichen chinesischen Lehnwörtern weisen in der Tat darauf hin, dass die Sozialisation des Beschwerdeführers ausserhalb der Volksrepublik China stattgefunden hat. Des Weiteren entsprechen die Angaben des Beschwerdeführers (und Vaters zweier Töchter im schulpflichtigen Alter) zur Schulbildung nicht den tatsächlichen aktuellen Verhältnissen, und auch die Begründungen, wieso er etwa in den Wintermonaten nicht in grössere Städte gefahren beziehungsweise eine Pilgerreise unternommen habe oder wieso er keine chinesischen Lebensmittel kenne (vgl. Stellungnahme vom 30. Oktober 2014), vermag nicht zu überzeugen. Dasselbe gilt für die Behauptung des Beschwerdeführers, seine Sprechweise dem Dialekt der Befragerin angepasst zu haben, zumal es - wie die Vorinstanz in ihrer angefochtenen Verfügung zu Recht bemerkte - einer Person, die nie ihren Bezirk verlassen und nie Kontakt zu Personen von ausserhalb des Bezirks gehabt hatte, wohl kaum gelingen würde, spontan Verbformen, Phonetik und Wörter von ausserhalb ihres Bezirks zu gebrauchen.</w:t>
      </w:r>
    </w:p>
    <w:p>
      <w:r>
        <w:rPr>
          <w:b/>
        </w:rPr>
        <w:t>E. 5.1.3</w:t>
      </w:r>
    </w:p>
    <w:p>
      <w:r>
        <w:t>Sodann kann auch der Auffassung der Vorinstanz gefolgt werden, die drei mit der Stellungnahme vom 30. Oktober 2014 eingereichten, vor vielen Jahren aufgenommenen Fotos (von denen eines den Beschwerdeführer als Kind zeigen soll) vermöchten nicht zu beweisen, dass der Beschwerdeführer sein ganzes Leben im Kreis D.________ verbracht haben soll. Auch die auf Beschwerdeebene eingereichten Unterlagen sind nicht geeignet, die Zweifel an der Glaubhaftigkeit der vom Beschwerdeführer geltend gemachten Herkunft zu beseitigen. Was die beiden am 16. März 2015 eingereichten Dokumente (je eine chinesische Ersatz-Identitätskarte und ein Schreiben der Polizei von D.________) betrifft, so wies das SEM in seiner ergänzenden Vernehmlassung vom 20. April 2015 zutreffend darauf hin, es handle sich um Dokumente ohne jegliche Sicherheitsmerkmale, zudem falle auf, dass es sich um die gleiche Dokumentvorlage handle und die beiden Blätter in etwa gleich alt aussehen würden, obwohl die Ersatz-Identitätskarte 14 Jahre vor dem polizeilichen Schreiben ausgestellt worden sei und der Beschwerdeführer auf dem darauf angebrachten Bild älter aussehe als auf der bei seiner Ankunft in der Schweiz zwölf Jahre später angefertigten Foto. Mit dem in der Eingabe vom 5. Mai 2015 angebrachten Hinweis auf das gleichzeitig eingereichte, in M._______ aufgegebene DHL-Zustellcouvert lassen sich die Zweifel an der Echtheit der Unterlagen nicht beseitigen. Es ist daher davon auszugehen, dass es sich bei den beiden Dokumenten um für das vorliegende Beschwerdeverfahren angefertigte Fälschungen handelt. Sie sind daher in Anwendung von Art. 10 Abs. 4 AsylG einzuziehen. Schliesslich geben auch die beiden am 12. Mai 2015 zu den Akten gegebenen Bilder, welche die Ehefrau und die beiden Töchter des Beschwerdeführers zeigen sollen, keinerlei Rückschlüsse auf die Herkunft des Beschwerdeführers, und vor dem Hintergrund der vorstehenden Erwägungen sind sowohl die am 2. Juni 2015 beim Bundesverwaltungsgericht eingegangenen Kopien von sieben Schreiben von angeblich ebenfalls "aus G._______ D.________" stammenden und sich mittels Schweizer Aufenthaltsbewilligungen ausweisenden Personen als auch das am 11. Juni 2015 im Original eingereichte Schreiben der (...) als blosse Gefälligkeitsschreiben ohne weitergehenden Beweiswert zu qualifizieren.</w:t>
      </w:r>
    </w:p>
    <w:p>
      <w:r>
        <w:rPr>
          <w:b/>
        </w:rPr>
        <w:t>E. 5.1.4</w:t>
      </w:r>
    </w:p>
    <w:p>
      <w:r>
        <w:t>Nach dem Gesagten kann die vom Beschwerdeführer geltend gemachte Herkunft und Sozialisierung im Kreis D.________ nicht geglaubt werden.</w:t>
      </w:r>
    </w:p>
    <w:p>
      <w:r>
        <w:rPr>
          <w:b/>
        </w:rPr>
        <w:t>E. 5.2</w:t>
      </w:r>
    </w:p>
    <w:p>
      <w:r>
        <w:t>Ferner sind auch die vom Beschwerdeführer vorgetragenen Fluchtgründe nicht glaubhaft.</w:t>
      </w:r>
    </w:p>
    <w:p>
      <w:r>
        <w:rPr>
          <w:b/>
        </w:rPr>
        <w:t>E. 5.2.1</w:t>
      </w:r>
    </w:p>
    <w:p>
      <w:r>
        <w:t>So brachte der Beschwerdeführer anlässlich der Bundesanhörung vom 15. Oktober 2014 erstmals vor, ab dem Jahr 2006 mehrfach im Dorf eine von einem Onkel väterlicherseits erhaltene CD mit der Ansprache des Dalai Lama vorgeführt zu haben (vgl. Vorakten BFM A19 S. 6 f.) und seit 2012 einer Meldepflicht unterstellt gewesen zu sein (vgl. Vorakten BFM A19 S. 13). Der Umstand, dass er eine derart wesentliche Tätigkeit und eine für den Entschluss zur Ausreise entscheidende behördliche Massnahme in der BzP vom 5. März 2013 noch mit keinem Wort erwähnt hatte, weckt bereits gewichtige Zweifel an deren Glaubhaftigkeit. Des Weiteren sind seine Vorbringen teilweise auch widersprüchlich ausgefallen. Während er in der BzP etwa zu Protokoll gab, im Jahr 2012 sei er von Polizisten aufgesucht worden, welche ihm mit der Begründung, sie hätten gehört, er würde immer mittwochs die tibetische Kultur pflegen, die Identitätskarte weggenommen hätten (vgl. Vorakten BFM A5 S. 7), behauptete er in der Bundesanhörung, die Identitätskarte sei ihm weggenommen worden, weil die Kommunistische Partei Chinas von den Vorführungen der CD mit der Rede des Dalai Lama erfahren hätten (vgl. Vorakten BFM A19 S. 12). Mit dem Hinweis, die Befragerin im EVZ B._______ sei keine in Tibet geborene Tibeterin gewesen, ausserdem sei er gezwungen worden, sich kurz zu halten (vgl. Beschwerde S. 5), lassen sich die besagten Zweifel nicht beseitigen, zumal dem Beschwerdeführer auch das anlässlich der BzP am 5. März 2013 erstellte Protokoll (bei welchem er sehr wohl andere politische Aktivitäten und andere behördliche Massnahmen erwähnt hatte) rückübersetzt worden war und er dessen Richtigkeit mit seiner Unterschrift bestätigt hatte.</w:t>
      </w:r>
    </w:p>
    <w:p>
      <w:r>
        <w:rPr>
          <w:b/>
        </w:rPr>
        <w:t>E. 5.2.2</w:t>
      </w:r>
    </w:p>
    <w:p>
      <w:r>
        <w:t>Wie in der vorinstanzlichen Verfügung zutreffend festgestellt wurde, sind die Vorbringen des Beschwerdeführers in verschiedener Hinsicht auch sehr knapp, ungenau und unsubstanziiert ausgefallen. So war der Beschwerdeführer auch auf mehrfaches Nachfragen hin nicht in der Lage, zeitliche Angaben zur Plakataktion oder zu den Besuchen der Polizei zu machen (vgl. Vorakten BFM A19 S. 7 f., 10 und 12 ff.), und den Schilderungen mangelt es an persönlichen Details, welche das Vorgebrachte als tatsächlich erlebt erscheinen liessen. Schliesslich wirken auch die Ausführungen bezüglich der angeblichen illegalen Ausreise vage, ausweichend und ungereimt (vgl. Vorakten BFM A19 S. 17).</w:t>
      </w:r>
    </w:p>
    <w:p>
      <w:r>
        <w:rPr>
          <w:b/>
        </w:rPr>
        <w:t>E. 5.3</w:t>
      </w:r>
    </w:p>
    <w:p>
      <w:r>
        <w:t>Nach dem Gesagten ist aufgrund der schlüssig begründeten linguistischen Analyse und der Evaluation der landeskundlichen Kenntnisse davon auszugehen, dass der Beschwerdeführer vor seiner Ankunft in der Schweiz nicht in der Volksrepublik China, sondern in der exiltibetischen Diaspora gelebt hat. Dies wird durch die Tatsache, dass es sich bei der von ihm eingereichten chinesischen Ersatz-Identitätskarte um eine Fälschung handelt, sowie durch die Unglaubhaftigkeit der vorgebrachten Fluchtgründe untermauert. Namhafte exiltibetische Gemeinschaften gibt es - nebst der Schweiz und Nordamerika - lediglich in Indien und Nepal. Es ist somit im Sinne einer Vermutung anzunehmen, dass der Beschwerdeführer in Indien oder Nepal aufgewachsen ist beziehungsweise dort gelebt hat. Folglich wäre grundsätzlich zu prüfen, ob er über die chinesische Staatsangehörigkeit verfügt, was eine Prüfung der Drittstaatenregelung im Sinne von Art. 31a Abs. 1 Bst. c AsylG mit sich bringen würde, oder ob er die indische oder nepalesische Staatsangehörigkeit erworben hat, was zur Folge hätte, dass das Vorliegen einer asylrelevanten Gefährdung hinsichtlich eines jener Staaten zu prüfen wäre. Das Bundesverwaltungsgericht ist indes wie die Vorinstanz der Auffassung, dass der Beschwerdeführer seine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verantworten (vgl. BVGE 2014/12 E. 5.10).</w:t>
      </w:r>
    </w:p>
    <w:p>
      <w:r>
        <w:rPr>
          <w:b/>
        </w:rPr>
        <w:t>E. 5.4</w:t>
      </w:r>
    </w:p>
    <w:p>
      <w:r>
        <w:t>Zusammenfassend ist demnach festzuhalten, dass zwar die vom Beschwerdeführer angegebene tibetische Ethnie nicht angezweifelt wird. Seine Vorbringen hinsichtlich des Ortes seiner hauptsächlichen Sozialisation sowie seine Asylvorbringen sind jedoch insgesamt nicht glaubhaft. Dem Beschwerdeführer ist es folglich nicht gelungen, für den Zeitpunkt seiner Ausreise eine asylrechtlich relevante Verfolgung, die er in seiner Heimat vor seiner Ausreise erlitten hat oder in begründeter Weise zukünftig befürchten müsste, aufzuzeigen oder glaubhaft zu machen. Er vermag weder die Flüchtlingseigenschaft im Zeitpunkt seiner Ausreise noch subjektive Nachfluchtgründe nachzuweisen oder zumindest glaubhaft zu machen. Die Vorinstanz hat somit zu Recht seine Flüchtlingseigenschaft verneint und das Asylgesuch abgelehnt. Nachdem der erhebliche Sachverhalt ausreichend erstellt ist, besteht keine Veranlassung, die Sache zur Neubeurteilung an die Vorinstanz zurückzuweisen. Der entsprechende Sub-Subeventualantrag ist daher abzuweisen.</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7.1 Ist der Vollzug der Wegweisung nicht zulässig, nicht zumutbar oder nicht möglich, so regelt das Staatssekretariat das Anwesenheitsverhältnis nach den gesetzlichen Bestimmungen über die vorläufige Aufnahme (Art. 44 AsylG; Art. 83 Abs. 1 AuG [SR 142.20]). 7.2 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 7.3 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9.1</w:t>
      </w:r>
    </w:p>
    <w:p>
      <w:r>
        <w:t>Bei diesem Ausgang des Verfahrens wären die Kosten des Verfahrens dem Beschwerdeführer aufzuerlegen (Art. 63 Abs. 1 VwVG). Da das Gesuch um Gewährung der unentgeltlichen Rechtspflege im Sinne von Art. 65 Abs. 1 VwVG mit Zwischenverfügung vom 12. Januar 2015 jedoch gutgeheissen wurde, sind keine Verfahrenskosten zu erheben.</w:t>
      </w:r>
    </w:p>
    <w:p>
      <w:r>
        <w:rPr>
          <w:b/>
        </w:rPr>
        <w:t>E. 9.2</w:t>
      </w:r>
    </w:p>
    <w:p>
      <w:r>
        <w:t>Nachdem dem Beschwerdeführer die unentgeltliche Rechtsverbeiständung gewährt und Rechtsanwältin Jana Maletic als amtliche Vertreterin eingesetzt wurde, ist Letzterer ein amtliches Honorar auszurichten. Die Rechtsvertreterin der Beschwerdeführerin hat keine Kostennote eingereicht. Auf die Nachforderung einer solchen kann jedoch verzichtet werden, da sich im vorliegenden Verfahren der Aufwand zuverlässig abschätzen lässt (Art. 14 Abs. 2 des Reglements vom 21. Februar 2008 über die Kosten und Entschädigungen vor dem Bundesverwaltungsgericht [VGKE, SR 173.320.2]). In Anwendung der massgeblichen Bemessungsfaktoren (vgl. Art. 12 i.V.m. Art. 8-11 VGKE) ist Rechtsanwältin Jana Maletic für ihre notwendigen Bemühungen im Beschwerdeverfahren zu Lasten des Gerichts ein amtliches Honorar in der Höhe von Fr. 1'000.- (inklusive Auslagen und Mehrwertsteuerersatz)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