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D-14/2009 vom 20. Oktober 2011</w:t>
      </w:r>
    </w:p>
    <w:p>
      <w:r>
        <w:t>Bundesverwaltungsgericht, 2011-10-20, DE</w:t>
      </w:r>
    </w:p>
    <w:p>
      <w:r>
        <w:rPr>
          <w:b/>
        </w:rPr>
        <w:t xml:space="preserve">Quelle: </w:t>
      </w:r>
      <w:r>
        <w:t>https://mcp.opencaselaw.ch/entscheid/bvger_D-14_2009</w:t>
      </w:r>
    </w:p>
    <w:p>
      <w:r>
        <w:t>FR: TAF D-14/2009 du 20 octobre 2011</w:t>
      </w:r>
    </w:p>
    <w:p>
      <w:r>
        <w:t>IT: TAF D-14/2009 del 20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vom Be­schwerdeführer geltend gemachten Benachteiligungen seien von Drittpersonen ausgegangen. Er habe die Möglichkeit, bei den staatlichen Organen um Schutz vor weiteren Benachteiligungen zu ersuchen. Es lä­gen keine konkreten Hinweise dafür vor, dass diese ihrer Schutzpflicht nicht nachkommen würden. Seine Angabe, man habe ihn auf dem Sicher­heitsposten lediglich beschwichtigt, als er nach Erhalt eines Drohbriefs dorthin gegangen sei, sei als blosse Behauptung einzustufen. Zudem seien die Behörden nicht in der Lage, jederzeit allumfassend Schutz zu gewähren. Der Onkel des Beschwerdeführers habe nach einem Gerichts­verfahren sein Eigentum zurückerhalten. Allein dieser Umstand spreche gegen eine Unterlassung der Schutzpflicht der afghanischen Behörden. Die Asylvorbringen hielten den Anforderungen an die Flüchtlingseigen­schaft von Art. 3 AsylG nicht Stand, woran auch die eingereichten Beweisunterlagen nichts ändern könnten. Die Vorbringen wiesen im Übrigen verschiedene Unglaubhaftigkeits­punkte auf. Der Beschwerdeführer sei nicht in der Lage gewesen, das ge­naue Datum der Bedrohung durch C._______ im Juli 2006 anzugeben. Er habe gesagt, es sei in der ersten Hälfte des siebten Monates gewe­sen. Zudem habe er unsubstanziierte Angaben bezüglich der Reise in die Schweiz zu Protokoll gegeben. Angesichts seiner Ausbildung und berufli­chen Tätigkeit hätten von ihm differenziertere Ausführungen erwartet wer­den können. Er habe behauptet, seit 2004 mehrere Drohbriefe erhalten zu haben und von C._______ mit einer Pistole bedroht worden zu sein. Trotzdem habe er Afghanistan erst im Februar 2007 verlassen. Hätte er sich tatsächlich um sein Leben gefürchtet, hätte er mit der Ausreise nicht so lange zugewartet.</w:t>
      </w:r>
    </w:p>
    <w:p>
      <w:r>
        <w:rPr>
          <w:b/>
        </w:rPr>
        <w:t>E. 4.2</w:t>
      </w:r>
    </w:p>
    <w:p>
      <w:r>
        <w:t>In der Beschwerde wird demgegenüber geltend gemacht, die "feindli­che Übernahme" eines Hauses gehöre in Afghanistan zum Alltag. Der Staat nehme seine Schutzfunktion nicht richtig wahr, auch wenn das Ge­richtsurteil zugunsten des Beschwerdeführers gelautet habe. Die Situa­tion sei entgegen der Meinung des BFM als staatlich geduldete Verfol­gung und Unterdrückung zu qualifizieren. Seine Vorbringen seien in Afghanistan leicht überprüfbar, sie entsprächen der Wahrheit.</w:t>
      </w:r>
    </w:p>
    <w:p>
      <w:r>
        <w:rPr>
          <w:b/>
        </w:rPr>
        <w:t>E. 4.3</w:t>
      </w:r>
    </w:p>
    <w:p>
      <w:r>
        <w:t>In der Stellungnahme vom 10. September 2011 wird ergänzend ausgeführt, der Beschwerdeführer habe in Kabul keine Verwandten und kein anderweitiges Beziehungsnetz. Bei einer Rückkehr hätte er dort weder Zugang zu einer einigermassen garantierten Ernährung und Unterkunft noch könnte er einer existenzsichernden Erwerbstätigkeit nachgehen. Somit würde er in absehbarer Zeit in eine existenzbedrohende Situation geraten.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Der Beschwerdeführer erklärte anlässlich der Anhörungen, er habe seinen Onkel im Verfahren vor den Instanzen begleitet und diesen wäh­rend den Verhandlungen praktisch vertreten, weil dieser ein älterer Mann sei (vgl. act. A1/13 S. 5, A17/20 S. 6). Diese Darstellung des Beschwerdeführers erscheint nicht plausibel. Der Beschwerdeführer hat zwar zum Zeitpunkt des Rechtsstreits, der sich über längere Zeit hinzog, Informatik-Kurse besucht (vgl. act. A1/13 S. 2); über einen eigentlichen Be­rufsabschluss verfügt er jedoch nicht. Es ist daher unwahrscheinlich, dass sein Onkel, der selber Rechtsprofessor sein soll (vgl. act. A17/20 S. 17), sich von seinem in Rechtshändeln unerfahrenen, fachlich nicht qualifi­zierten und zum fraglichen Zeitpunkt gerademal 20-jährigen Neffen hat vertreten lassen. Der Behauptung des Beschwerdeführers, er sei "Rechtsvertreter" seines Onkels gewesen (vgl. act. A17/20 S. 6), kann folglich kein Glauben geschenkt werden. Denkbar ist allenfalls, dass der Beschwerdeführer seinen Onkel manchmal begleitete und ihm in administrativen Dingen behilflich war. Anderseits wird in keinem der auf Beschwerdeebene eingereichten, das Verfahren betreffenden Dokumente der Name des Beschwerdeführers erwähnt. In einem bei der Vorinstanz eingereichten, im Beweismittelumschlag A6/1 unter 3. als Besitzurkunde aufgenommenen Dokument wird hingegen der Name eines C._______ genannt, bei dem es sich aufgrund der angefügten Namen der Eltern um einen Bruder von B._______ handeln dürfte. Somit kann der Beschwerdeführer auch mit den eingereichten Beweismitteln, deren Authentizität vom BFM nicht ausdrücklich bezweifelt wurde, nicht bele­gen, dass er massgeblich in das Verfahren um das Eigentum am Haus seines Onkels involviert war. Die Schlussfolgerung, der Beschwerdeführer könne nicht massgeblich am Verfahren beteiligt gewesen sein, wird durch mehrere Ungereimthei­ten und Widersprüche in seinen Aussagen gestützt. Gemäss seinen Aussagen wäre er ab Juli 2006 von Anhängern der gegnerischen Prozesspartei mehrfach und ernsthaft bedroht worden. Trotz dieser Bedrohungslage - er soll sogar mit dem Tod bedroht worden sein (vgl. act. A17/20 S. 7) - will er weiterhin in der Wohnung an der seinen Geg­nern bekannten Adresse gelebt haben. Sein Erklärungsversuch, im Block, in dem er gewohnt habe, habe es 75 Wohnungen gegeben, weshalb seine Gegner seine Wohnung nicht einfach hätten ausfindig machen kön­nen, überzeugt nicht, da es den angeblich einflussreichen Gegnern ein Leichtes gewesen wäre, diese ausfindig zu machen, oder ihn im Umkreis des Hauses abzufangen. Bei der Befragung im Transitzentrum gab der Beschwerdeführer an, er habe sich im 8. Monat 2006 vor der Kommandantur befunden, als C._______ zusammen mit einem anderen Mann zu ihm gekommen sei. Dieser habe eine Pistole auf ihn gerichtet, worauf er in die Kommandantur gerannt sei (vgl. act. A1/13 S. 7 f.). Bei der Anhörung sagte er indessen aus, sein Onkel und er seien von C._______ vor der Kommandantur mit einer Pistole bedroht worden. Sie hätten geschrien, worauf Polizisten gekommen seien, die C._______ und des­sen Begleiter weggeschoben hätten (vgl. act. A17/20 S. 15). Die Darstel­lung des Beschwerdeführers, sein Onkel und er seien in der Öffentlichkeit bedroht worden, weshalb man ihnen nichts habe antun können (vgl. act. A17/20 S. 15), erscheint nicht plausibel. Bei den Gegnern des Beschwerdeführers soll es sich um einflussreiche Personen gehandelt haben, die über bewaffnete Leute verfügten. Angesichts der allgemeinen Lage in Afghanistan kann nicht ernsthaft davon ausgegangen werden, dass derart einflussreiche Personen nicht in der Lage gewesen wären, ei­nem einfachen Bürger wie dem Beschwerdeführer auch in der Öffentlich­keit etwas anzutun, ohne sich dabei persönlich erkennen zu geben. Aufgrund dieser Erwägungen ist das Vorbringen des Beschwerdeführers, wonach er wegen des Streits um das Eigentum am Haus seines Onkels an Leib und Leben bedroht gewesen sei, als überwiegend unwahrschein­lich und somit unglaubhaft zu qualifizieren.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6.2</w:t>
      </w:r>
    </w:p>
    <w:p>
      <w:r>
        <w:t>Der Beschwerdeführer machte anlässlich seiner Befragungen gel­tend, er habe nach der Ermordung seines Vaters am 3. Februar 2003 zu­sammen mit seinen Schwestern Drohbriefe bzw. einen Drohbrief erhalten. Er habe diesen jedoch keine grosse Bedeutung beigemessen, da Kabul sowieso unsicher sei (vgl. act. A1/13 S. 5, A17/20 S. 4 ff.). Unbesehen der Frage der Glaubhaftigkeit dieses Vorbringens ist davon auszugehen, dass der Beschwerdeführer sich von dieser Drohung nicht beeindrucken liess. Einerseits hatte der Drohbrief keine Folgen, zumal der Beschwerdeführer bei der Anhörung zu den Asylgründen angab, er sei im Jahr 2005 nicht bedroht worden (vgl. act. A17/20 S. 5), anderseits sah er sich deshalb nicht veranlasst, irgendwelche Massnahmen geschweige denn die Flucht zu ergreifen. Somit kann ihm aus diesem Grund weder subjektiv noch objektiv begründete Furcht vor zukünftiger Verfolgung zuerkannt werden.</w:t>
      </w:r>
    </w:p>
    <w:p>
      <w:r>
        <w:rPr>
          <w:b/>
        </w:rPr>
        <w:t>E. 6.3</w:t>
      </w:r>
    </w:p>
    <w:p>
      <w:r>
        <w:t>Zusammenfassend ist festzuhalten, dass der Beschwerdeführer in Afgha­nistan bis zu seiner Ausreise keiner asylrechtlich relevanten Verfol­gung ausgesetzt war. Ihm kann weder für den Zeitpunkt der Ausreise aus dem Heimatland noch heute begründete Furcht vor Verfolgung zuerkannt wer­den. Es erübrigt sich, auf die weiteren Ausführungen in der Be­schwerde einzugehen, da diese an der rechtlichen Würdigung des Sachverhalts nichts zu ändern vermögen. Aufgrund des Gesagten erweist es sich zu­dem als nicht notwendig, Abklärungen vor Ort in Auftrag zu ge­ben, wes­halb der entsprechende Antrag abzuweisen ist. Das BFM hat das Asylge­such im Ergebnis zu Recht abgelehnt. 7.1. Lehnt das Bundesamt das Asylgesuch ab oder tritt es darauf nicht ein, so verfügt es in der Regel die Wegweisung aus der Schweiz und ord­net den Vollzug an; es berücksichtigt dabei den Grundsatz der Einheit der Familie (Art. 44 Abs. 1 AsylG). 7.2. Der Beschwerdeführer verfügt weder über eine ausländerrechtliche Aufenthaltsbewilligung noch über einen Anspruch auf Erteilung einer sol­chen. Die Wegweisung wurde demnach zu Recht angeordnet (Art. 44 Abs. 1 AsylG; BVGE 2009/50 E. 9 S. 733, BVGE 2008/34 E. 9.2 S. 510,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a.a.O.,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Erwägungen zum Asylpunkt nicht gelungen. Auch die allgemeine Menschenrechtssituation in Afghanistan lässt den Wegweisungsvollzug im vorliegenden Fall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Bezug auf die allgemeine Lage in Afghanistan ist auf die vom Bundesverwaltungsgericht vorgenommene Einschätzung der Lage im zur Publikation vorgesehenen BVGE E-7625/2008 vom 16. Juni 2011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a.a.O. E. 9.9.1 f.).</w:t>
      </w:r>
    </w:p>
    <w:p>
      <w:r>
        <w:rPr>
          <w:b/>
        </w:rPr>
        <w:t>E. 8.3.3</w:t>
      </w:r>
    </w:p>
    <w:p>
      <w:r>
        <w:t>Der Beschwerdeführer stammt aus Kabul. Gemäss der soeben dar­gelegten Rechtsprechung des Bundesverwaltungsgerichts ist nicht von der generellen Unzumutbarkeit des Wegweisungsvollzugs dorthin auszugehen.</w:t>
      </w:r>
    </w:p>
    <w:p>
      <w:r>
        <w:rPr>
          <w:b/>
        </w:rPr>
        <w:t>E. 8.3.4</w:t>
      </w:r>
    </w:p>
    <w:p>
      <w:r>
        <w:t>Bei dieser Sachlage stellt sich die Frage, ob dem Beschwerdefüh­rer eine Rückkehr nach Kabul aufgrund einer individuellen Prüfung der Verhältnisse zuzumuten ist. Die Bejahung der Zumutbarkeit einer Rück­kehr nach Kabul setzt insbesondere die Existenz eines tragfähigen Bezie­hungsnetzes, die konkrete Möglichkeit der Sicherung des Existenzmini­mums sowie eine gesicherte Wohnsituation voraus (vgl. der zur Publika­tion vorgesehene BVGE E-7625/2008 vom 16. Juni 2011 E. 9.9.2. mit Verweis auf EMARK 2003 Nr. 10 E. 10 cc).</w:t>
      </w:r>
    </w:p>
    <w:p>
      <w:r>
        <w:rPr>
          <w:b/>
        </w:rPr>
        <w:t>E. 8.3.5</w:t>
      </w:r>
    </w:p>
    <w:p>
      <w:r>
        <w:t>Anlässlich der Anhörungen machte der Beschwerdeführer geltend, seine Mutter und seine Schwestern seien zusammen mit ihm nach Pakis­tan geflohen und zwei Onkel mütterlicherseits lebten in Kabul (vgl. act. A1/13 S. 3). Nachdem sich bereits die vom Beschwerdeführer zur Begründung seines Asylgesuches geltend gemachten Vorbringen als un­glaubhaft erwiesen haben, ist allerdings auch den Aussagen des Beschwerdeführers, wonach seine Mutter und seine Schwestern Kabul hätten verlassen müssen, mit Skepsis zu begegnen. Mangels konkreter anderweitiger Anhaltspunkte ist daher davon auszugehen, dass seine engsten Familienangehörigen und zwei Onkel nach wie vor in Kabul le­ben, womit er dort über ein tragfähiges Beziehungsnetz verfügt, welches ihm bei der Reintegration in dieser Stadt behilflich sein wird. Insbeson­dere ist anzunehmen, dass er nach seiner Rückkehr nach Kabul bei Ver­wandten wohnen kann, bis er allenfalls eine eigene Wohnung gefunden hat, und dass seine Familie ihn bei der Suche nach einer Arbeitsstelle unterstützt. Eigenen Angaben zufolge verfügt er über mehrjährige Berufserfahrung im Büro- und Informatikbereich (vgl. act. A1/9 S. 2). Er spricht Dari, seine Muttersprache, und verfügt über gute Englisch-, Urdu- und Paschtu-Kenntnisse, weshalb davon auszugehen ist, dass er sich bei einer Rückkehr nach Afghanistan auch beruflich wird integrieren können. Schliesslich ist darauf festzuhalten, dass mehrere gutsituierte Verwandte des Beschwerdeführers (vgl. act. A17/20 S. 4) ausserhalb Afghanistans leben, weshalb angenommen werden kann, dass er bei Bedarf - zumin­dest finanziell - auch auf deren Hilfe wird zurückgreifen können.</w:t>
      </w:r>
    </w:p>
    <w:p>
      <w:r>
        <w:rPr>
          <w:b/>
        </w:rPr>
        <w:t>E. 8.3.6</w:t>
      </w:r>
    </w:p>
    <w:p>
      <w:r>
        <w:t>Zusammenfassend ergibt sich aufgrund des Gesagten, dass sich der Vollzug der Wegweisung nach Kabul im Falle des Beschwerdeführers nicht als unzumutbar erweist.</w:t>
      </w:r>
    </w:p>
    <w:p>
      <w:r>
        <w:rPr>
          <w:b/>
        </w:rPr>
        <w:t>E. 8.4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8.5</w:t>
      </w:r>
    </w:p>
    <w:p>
      <w:r>
        <w:t>Das BFM hat demnach den Wegweisungsvollzug zu Recht als zuläs­sig, zumutbar und möglich erachtet. Die Anordnung der vorläufigen Auf­nahme fällt daher nicht in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Sie sind durch den in derselben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