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D-14/2008 vom 8. Februar 2011</w:t>
      </w:r>
    </w:p>
    <w:p>
      <w:r>
        <w:t>Bundesverwaltungsgericht, 2011-02-08, DE</w:t>
      </w:r>
    </w:p>
    <w:p>
      <w:r>
        <w:rPr>
          <w:b/>
        </w:rPr>
        <w:t xml:space="preserve">Quelle: </w:t>
      </w:r>
      <w:r>
        <w:t>https://mcp.opencaselaw.ch/entscheid/bvger_D-14_2008</w:t>
      </w:r>
    </w:p>
    <w:p>
      <w:r>
        <w:t>FR: TAF D-14/2008 du 8 février 2011</w:t>
      </w:r>
    </w:p>
    <w:p>
      <w:r>
        <w:t>IT: TAF D-14/2008 del 8 febbraio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112 des Bundesgesetzes vom 16. Dezember 2005 über die Ausländerinnen und Ausländer [AuG, SR 142.20]; Art. 83 Bst. c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2.2</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(vgl. Mario Gattiker, Das Asyl- und Wegweisungsverfahren, Bern 1999, S. 89).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3.2</w:t>
      </w:r>
    </w:p>
    <w:p>
      <w:r>
        <w:t>Vorab ist festzuhalten, dass die allgemeine Sicherheits- und Menschenrechtslage im kurdischen Nordirak den Wegweisungsvollzug zum heutigen Zeitpunkt nicht als unzulässig erscheinen lässt (vgl. BVGE 2008/4). Auf die diesbezüglichen Rügen in der Beschwerde braucht daher nicht näher eingegangen zu werden.</w:t>
      </w:r>
    </w:p>
    <w:p>
      <w:r>
        <w:rPr>
          <w:b/>
        </w:rPr>
        <w:t>E. 3.3</w:t>
      </w:r>
    </w:p>
    <w:p>
      <w:r>
        <w:t>Da sodann der ursprüngliche Entscheid des BFM vom 24. März 2005 namentlich hinsichtlich der Frage der Flüchtlingseigenschaft in Rechtskraft erwachsen ist (vgl. Sachverhalt Bst. B und E), findet das in Art. 5 AsylG verankerte Prinzip des flüchtlingsrecht­lichen Non-Refoulements im vorliegenden Verfahren keine Anwendung.</w:t>
      </w:r>
    </w:p>
    <w:p>
      <w:r>
        <w:rPr>
          <w:b/>
        </w:rPr>
        <w:t>E. 3.4</w:t>
      </w:r>
    </w:p>
    <w:p>
      <w:r>
        <w:t>Aufgrund der Aktenlage kann schliesslich ausgeschlossen werden, dass dem Beschwerdeführer bei einer Rückkehr in den Heimatstaat eine konkrete Gefahr im Sinne von Art. 3 EMRK droht. Sowohl in seiner Stellungnahme an das BFM vom 26. November 2007 (vgl. Sachverhalt Bst. G) als auch in der Rechtsmittelschrift vom 28. Dezember 2007 wiederholt der Beschwerdeführer in diesem Zusammenhang lediglich seine im ursprünglichen Asylverfahren geltend gemachte Befürchtung, bei einer Rück­kehr in den Heimatstaat wegen einer sexuellen Beziehung zu einer ver­heirateten Frau vom betrogenen Ehemann oder von dessen Familie ge­steinigt zu werden. Dieses unsubstanziierte und nicht weiter belegte Vor­bringen vermag offensichtlich keine konkrete Gefahr im Sinne der oben (E. 3.1) zitierten völkerrechtlichen Rechtsprechung zu begründen, zu­mal die Vorinstanz die diesbezüglichen Aussagen als klar realitätsfremd und den allgemeinen Erfahrungen widersprechend bezeichnete. Die­se vorinstanzliche Feststellung ist in Rechtskraft erwachsen.</w:t>
      </w:r>
    </w:p>
    <w:p>
      <w:r>
        <w:rPr>
          <w:b/>
        </w:rPr>
        <w:t>E. 3.5</w:t>
      </w:r>
    </w:p>
    <w:p>
      <w:r>
        <w:t>Zusammenfassend ist festzustellen, dass der Wegweisungsvollzug so­wohl im Sinne der asyl- als auch der völkerrechtlichen Bestimmungen als zulässig zu bezeichnen ist.</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klarerweise nicht verschlechtert. In der über­wiegenden Mehrheit der Berichte von Regierungs- und Nichtregierungsorganisationen sowie des UN-Sicherheitsrats wird eine insgesamt stabile Situation beschrieben (vgl. statt vieler: UNHCR, Note on the Continued Applicability of the April 2009 UNHCR Eligibility Guidelines for Assessing the International Protection Needs of Iraqi Asylum-Seekers, Juli 2010, S. 2 ff.).</w:t>
      </w:r>
    </w:p>
    <w:p>
      <w:r>
        <w:rPr>
          <w:b/>
        </w:rPr>
        <w:t>E. 4.3</w:t>
      </w:r>
    </w:p>
    <w:p>
      <w:r>
        <w:t>Der heute gut 30-jährige und - soweit aktenkundig - gesunde und alleinstehende Beschwerdeführer stammt aus Erbil in der gleichnamigen Provinz Nordiraks, wo er bis zu seiner Ausreise wohnhaft war. Die Feststellung der Vorinstanz, der Beschwerdeführer verfüge in seinem Herkunftsort über Familienangehörige (Eltern, Geschwister und Onkel; vgl. A1 Ziff. 12 S. 2 und Ziff. 16 S. 5 sowie A8 S. 5) sowie über eine solide Schulbildung und Berufserfahrung (vgl. A5 S. 8), wird von diesem im Rah­men des Beschwerdeverfahrens nicht bestritten. Der Vollständigkeit halber ist in diesem Zusammenhang darauf hinzuweisen, dass die vom Beschwerdeführer angeführten wirtschaftlichen Gründe nach der weiterhin gültigen Rechtsprechung der ehemaligen ARK keine existenzbedrohende Situation darstellen, welche den Vollzug der Weg­weisung in den Heimatstaat als unzumutbar erscheinen lassen (EMARK 2003 Nr. 24 E. 5.e S. 159). Aus den Akten ergibt sich sodann, dass der Beschwerdeführer hier in der Schweiz seit Juli 2007 erwerbstätig ist, wobei er sich im Gastgewerbe und Autohandel Berufserfahrungen aneignen konnte, welche ihm bei einer Rückkehr in den Heimatstaat von Nutzen sein werden. Es ist demnach nicht davon auszugehen, dass der Beschwerdeführer bei seiner Rückkehr in die Heimatstadt aus individuellen Gründen wirtschaftlicher, sozialer oder gesundheitlicher Natur in eine existenzbedrohende Situation geraten würde.</w:t>
      </w:r>
    </w:p>
    <w:p>
      <w:r>
        <w:rPr>
          <w:b/>
        </w:rPr>
        <w:t>E. 4.4</w:t>
      </w:r>
    </w:p>
    <w:p>
      <w:r>
        <w:t>Insofern der Beschwerdeführer in seiner Stellungnahme vom 26. November 2007 und der Beschwerdeschrift sodann darauf hinweist, dass er sich während seines mittlerweilen über siebenjährigen Aufenthalts in der Schweiz eine wirtschaftliche Existenz aufgebaut habe, ist festzuhalten, dass die damit verbundene Integration keine andere Beurteilung der Zumutbarkeit des Wegweisungsvollzugs zulässt. Nachdem die Bestimmungen betreffend vorläufige Aufnahme infolge einer schwerwiegenden persön­lichen Notlage (insb. Art. 44 Abs. 3-5 des Asylgesetzes vom 26. Juni 1998 [AsylG, SR 142.31] respektive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4.5</w:t>
      </w:r>
    </w:p>
    <w:p>
      <w:r>
        <w:t>Gestützt auf diese Erwägungen ist zusammenfassend der Schluss zu ziehen, dass der Beschwerdeführer bei einer Rückkehr in die Provinz Erbil keiner konkreten Gefährdung im Sinne von Art. 83 Abs. 4 AuG ausgesetzt sein wird. Der Vollzug der Wegweisung ist daher - überein­stimmend mit dem BFM - als zumutbar zu bezeichnen.</w:t>
      </w:r>
    </w:p>
    <w:p>
      <w:r>
        <w:rPr>
          <w:b/>
        </w:rPr>
        <w:t>E. 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Zusammenfassend ist festzustellen, dass das BFM die mit Verfü­gung vom 19. Januar 2006 angeordnete vorläufige Aufnahme des Be­schwer­de­führers zu Recht aufgehoben und den Wegweisungsvollzug verfügt hat.</w:t>
      </w:r>
    </w:p>
    <w:p>
      <w:r>
        <w:rPr>
          <w:b/>
        </w:rPr>
        <w:t>E. 7</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8</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und mit dem am 23. Januar 2008 geleisteten Kostenvorschuss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