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D-1489/2017 vom 20. März 2017</w:t>
      </w:r>
    </w:p>
    <w:p>
      <w:r>
        <w:t>Bundesverwaltungsgericht, 2017-03-20, DE</w:t>
      </w:r>
    </w:p>
    <w:p>
      <w:r>
        <w:rPr>
          <w:b/>
        </w:rPr>
        <w:t xml:space="preserve">Quelle: </w:t>
      </w:r>
      <w:r>
        <w:t>https://mcp.opencaselaw.ch/entscheid/bvger_D-1489_2017</w:t>
      </w:r>
    </w:p>
    <w:p>
      <w:r>
        <w:t>FR: TAF D-1489/2017 du 20 mars 2017</w:t>
      </w:r>
    </w:p>
    <w:p>
      <w:r>
        <w:t>IT: TAF D-1489/2017 del 20 marzo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w:t>
      </w:r>
    </w:p>
    <w:p>
      <w:r>
        <w:rPr>
          <w:b/>
        </w:rPr>
        <w:t>E. 4.2</w:t>
      </w:r>
    </w:p>
    <w:p>
      <w:r>
        <w:t>Das SEM hat den grundsätzlichen Anspruch der Beschwerdeführenden auf Behandlung des Wiedererwägungsgesuchs vom 16. Februar 2017 nicht in Abrede gestellt. Im vorliegenden Beschwerdeverfahren ist zu prüfen, ob das SEM zu Recht davon ausgegangen ist, dass die Vorbringen der Beschwerdeführenden die Sachlage nicht derart verändern, als dass die Voraussetzungen für die Überstellung nach Italien gestützt auf die Dublin-III-VO nicht mehr gegeben wären.</w:t>
      </w:r>
    </w:p>
    <w:p>
      <w:r>
        <w:rPr>
          <w:b/>
        </w:rPr>
        <w:t>E. 5.1</w:t>
      </w:r>
    </w:p>
    <w:p>
      <w:r>
        <w:t>Die Beschwerdeführenden rügten unter anderem, das SEM sei seiner Pflicht zur Ermessensausübung im Rahmen der Souveränitätsklausel aus humanitären Gründen gemäss Art. 17 Abs. 1 Dublin-III-VO nicht gesetzeskonform nachgekommen beziehungsweise habe nicht in nachvollziehbarer Weise begründet, weshalb auf einen Selbsteintritt verzichtet werde.</w:t>
      </w:r>
    </w:p>
    <w:p>
      <w:r>
        <w:rPr>
          <w:b/>
        </w:rPr>
        <w:t>E. 5.2</w:t>
      </w:r>
    </w:p>
    <w:p>
      <w:r>
        <w:t>Die Ermessensklausel von Art. 17 Abs. 1 Dublin-III-VO besagt,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Diese Bestimmung ist nicht direkt anwendbar, sondern kann nur in Verbindung mit einer anderen Norm des nationalen oder internationalen Rechts angerufen werden (vgl. BVGE 2010/45 E. 5). Art. 17 Abs. 1 Dublin-III-VO wird im schweizerischen Recht durch Art. 29a Abs. 3 AsylV 1 umgesetzt und konkretisiert. Art. 29a Abs. 3 AsylV 1 besagt, dass das SEM ein Asylgesuch aus humanitären Gründen auch dann behandeln kann, wenn die Prüfung ergeben hat, dass ein anderer Staat dafür zuständig ist. Wie das Bundesverwaltungsgericht in BVGE 2015/9 festhielt, verfügt das SEM bezüglich der Anwendung der Souveränitätsklausel aus humanitären Gründen gestützt auf Art. 29a Abs. 3 AsylV 1 über einen Ermessensspielraum,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Ermessensspielraum der Vorinstanz respektieren. Indes kann das Gericht nach wie vor überprüfen, ob das SEM sein Ermessen gesetzeskonform ausgeübt hat. Dies ist nur dann der Fall, wenn das SEM - bei Vorliegen von durch die gesuchstellende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Im Unterlassungsfall liegt eine Ermessensunterschreitung vor (vgl. BVGE 2015/9 E. 7 und 8). Folglich kommt dem Gericht im Rahmen von Art. 17 Abs. 1 Dublin-III-VO i.V.m. Art. 29a Abs. 3 AsylV 1 keine Beurteilungskompetenz in Bezug auf den Ermessensentscheid des SEM (mehr) zu, sondern es greift nur ein, wenn das Staatssekretariat das ihm eingeräumte Ermessen über- beziehungsweise unterschreitet oder missbraucht und damit Bundesrecht verletzt (vgl. hierzu auch die Urteile des BVGer E-4969/2016 vom 21. November 2016 und E-4487/2015 vom 12. Oktober 2015).</w:t>
      </w:r>
    </w:p>
    <w:p>
      <w:r>
        <w:rPr>
          <w:b/>
        </w:rPr>
        <w:t>E. 5.3</w:t>
      </w:r>
    </w:p>
    <w:p>
      <w:r>
        <w:t>Die Beschwerdeführenden ersuchten wiedererwägungsweise unter Verweis auf Berichte der behandelnden Ärzte und der kantonalen Mütter- und Väterberatung um erneute Beurteilung der Überstellung nach Italien unter dem Aspekt des Kindeswohls. Sie wiesen in diesem Zusammenhang auf die hierzulande bestehende Unterstützung durch die Familie der Tante der Beschwerdeführerin hin und betonten die Wichtigkeit dieser familiären Umgebung, insbesondere für die Entwicklung des Sohnes. Die diesbezüglichen Ausführungen des SEM in der angefochtenen Verfügung beschränken sich auf die Fragen der Anwendbarkeit von Art. 16 Abs. 1 Dublin-III-VO und eines zwingenden Selbsteintritts hinsichtlich einer allfälligen Verletzung von Art. 3 EMRK. Eine umfassende Prüfung der Anwendung der Souveränitätsklausel aus humanitären Gründen hat das SEM indessen unterlassen. Es hätte in nachvollziehbarer Weise und unter Darlegung der einschlägigen Kriterien prüfen und begründen müssen, ob es aufgrund der Vorbringen der Beschwerdeführenden (u.a. des hierzulande bestehenden Beziehungsnetzes und der geltend gemachten Wichtigkeit der Unterstützung durch die Familie der Tante der Beschwerdeführerin) angezeigt ist, die Souveränitätsklausel aus humanitären Gründen auszuüben. Aus der pauschalen Formulierung, dass "aufgrund der vorherigen Ausführungen auch keine Gründe für einen Selbsteintritt nach Art. 17 Abs. 1 Dublin-III-VO i.V.m. Art. 29a Abs. 3 AsylV 1 vorliegen" würden, ist nicht erkennbar, welche Kriterien das SEM dem vorliegenden Fall zur Beurteilung der humanitären Gründe konkret zugrunde gelegt hat. Damit ist es seiner Pflicht zur gesetzeskonformen Ermessensausübung nicht nachgekommen und hat sein Ermessen unterschritten.</w:t>
      </w:r>
    </w:p>
    <w:p>
      <w:r>
        <w:rPr>
          <w:b/>
        </w:rPr>
        <w:t>E. 5.4</w:t>
      </w:r>
    </w:p>
    <w:p>
      <w:r>
        <w:t>Da es sich bei der Ermessensunterschreitung um eine Rechtsverletzung handelt (vgl. BGE 132 V 393 E. 3.3), ist die angefochtene Verfügung aufzuheben und die Sache zur Neubeurteilung, unter umfassender Prüfung der Anwendung der Souveränitätsklausel aus humanitären Gründen in Ausübung des gesetzeskonformen Ermessens, an die Vorinstanz zurückzuweisen.</w:t>
      </w:r>
    </w:p>
    <w:p>
      <w:r>
        <w:rPr>
          <w:b/>
        </w:rPr>
        <w:t>E. 6</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7</w:t>
      </w:r>
    </w:p>
    <w:p>
      <w:r>
        <w:t>Bei diesem Ausgang des Verfahrens sind keine Kosten zu erheben (Art. 63 Abs. 1 und 2 VwVG), weshalb der Antrag auf Bewilligung der unentgeltlichen Prozessführung im Sinne von Art. 65 Abs. 1 VwVG gegenstandslos wird.</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womit auch der Antrag auf Gewährung der unentgeltlichen Rechtsverbeiständung im Sinne von Art. 65 Abs. 2 VwVG gegenstandslos wird. Seitens der Rechtsvertretung wurde für das Beschwerdeverfahren keine Kostennote eingereicht. Auf die Nachforderung einer solchen wird verzichtet, da sich der Aufwand für das vorliegende Beschwerdeverfahren zuverlässig abschätzen lässt (Art. 14 Abs. 2 in fine VGKE). Die von der Vorinstanz auszurichtende Parteientschädigung ist in Anwendung der genannten Bestimmungen und unter Berücksichtigung der massgeblichen Bemessungsfaktoren auf insgesamt Fr. 1200.-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