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D-1487/2022 vom 18. März 2022</w:t>
      </w:r>
    </w:p>
    <w:p>
      <w:r>
        <w:t>Bundesverwaltungsgericht, 2022-03-18, IT</w:t>
      </w:r>
    </w:p>
    <w:p>
      <w:r>
        <w:rPr>
          <w:b/>
        </w:rPr>
        <w:t xml:space="preserve">Quelle: </w:t>
      </w:r>
      <w:r>
        <w:t>https://mcp.opencaselaw.ch/entscheid/bvger_D-1487_2022_d20220318</w:t>
      </w:r>
    </w:p>
    <w:p>
      <w:r>
        <w:t>FR: TAF D-1487/2022 du 18 mars 2022</w:t>
      </w:r>
    </w:p>
    <w:p>
      <w:r>
        <w:t>IT: TAF D-1487/2022 del 18 marzo 2022</w:t>
      </w:r>
    </w:p>
    <w:p>
      <w:pPr>
        <w:pStyle w:val="Heading2"/>
      </w:pPr>
      <w:r>
        <w:t>Regeste</w:t>
      </w:r>
    </w:p>
    <w:p>
      <w:r>
        <w:t>Asilo ed allontanamento (domanda multipla/decisione di riesame) | Asilo (domanda multipla / decisione di riesame); decisione della SEM del 18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quanto ricevibile, il ricorso è respinto.</w:t>
      </w:r>
    </w:p>
    <w:p>
      <w:r>
        <w:rPr>
          <w:b/>
        </w:rPr>
        <w:t>E. 2</w:t>
      </w:r>
    </w:p>
    <w:p>
      <w:r>
        <w:t>Le spese processuali, di CHF 1'500.-, sono poste a carico del ricorrente e prelevate sull'anticipo spese di medesimo importo versato il 5 maggio 2022.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