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D-1485/2023 vom 23. März 2023</w:t>
      </w:r>
    </w:p>
    <w:p>
      <w:r>
        <w:t>Bundesverwaltungsgericht, 2023-03-23, DE</w:t>
      </w:r>
    </w:p>
    <w:p>
      <w:r>
        <w:rPr>
          <w:b/>
        </w:rPr>
        <w:t xml:space="preserve">Quelle: </w:t>
      </w:r>
      <w:r>
        <w:t>https://mcp.opencaselaw.ch/entscheid/bvger_D-1485_2023</w:t>
      </w:r>
    </w:p>
    <w:p>
      <w:r>
        <w:t>FR: TAF D-1485/2023 du 23 mars 2023</w:t>
      </w:r>
    </w:p>
    <w:p>
      <w:r>
        <w:t>IT: TAF D-1485/2023 del 23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die Vorinstanz habe den Sachverhalt nicht abgeklärt und überhaupt keine Überprüfung der Situation von Tschetschenen in Kroatien vorgenommen. Entsprechend habe sie in ihrer Verfügung entscheidrelevante Umstände nicht berücksichtigt. Ausserdem habe sie sich darauf berufen, dass Partnerbehörden Deutschlands und Österreichs die Einschätzung des SEM teilten, obschon deutsche Gerichte immer wieder Überstellungen nach Kroatien gestoppt und systemische Mängel festgestellt hätten. Die Vorinstanz habe den Sachverhalt bezüglich der systemischen Schwachstellen in Kroatien nicht ausreichend abgeklärt und Berichte von NGOs nicht beachtet. Vielmehr habe sie sich pauschal auf veraltete Abklärungen insbesondere der Schweizer Botschaft in Kroatien gestützt (vgl. Beschwerde S. 11 f.). Diese formellen Rügen sind vorab zu prüfen, da sie gegebenenfalls geeignet sind, eine Kassation der vorinstanzlichen Verfügung zu bewirken (vgl. BVGE 2013/34 E. 4.2).</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4.3</w:t>
      </w:r>
    </w:p>
    <w:p>
      <w:r>
        <w:t>Entgegen den Behauptungen des Beschwerdeführers hat sich die Vorinstanz mit der allgemeinen Lage von Asylsuchenden in Kroatien auseinandergesetzt und einlässlich dargelegt, aufgrund von welchen Informationen sie zur Schlussfolgerung gelangt ist, es liege im kroatischen Asylsystem keine erhebliche Gefahr einer unmenschlichen oder entwürdigenden Behandlung im Sinne von Art. 4 der EU-Grundrechtecharta und Art. 3 EMRK vor (S. 3-5 der angefochtenen Verfügung). Zudem hat sie ausdrücklich Stellung zur Kritik an der Lage in Kroatien bezogen und auch die individuelle Situation des Beschwerdeführers sowie sein anlässlich des Dublin-Gesprächs gemachtes Vorbringen, er sei in Kroatien von Personen, die für den tschetschenischen Präsidenten arbeiten würden, bedroht worden, bei der Entscheidfindung berücksichtigt (vgl. S. 5 der angefochtenen Verfügung). Klar ist sodann, dass das SEM die erstinstanzlichen Behörden Deutschlands und Österreichs als Partnerbehörden bezeichnet, nicht aber die dortigen Rechtsmittelinstanzen. Angesichts der Angaben des Beschwerdeführers zu seinem Gesundheitszustand (vgl. Bst. A.d) musste sich das SEM auch zu keinen weiteren Abklärungen veranlasst sehen. Allein der Umstand, dass der Beschwerdeführer die Lageeinschätzung des SEM nicht teilt und die individuellen Vorbringen oder die Situation in Kroatien nicht so beurteilt wie vom Beschwerdeführer gewünscht, und aus den sich bei den Akten befindenden Unterlagen nicht die gleichen Schlüsse zieht wie er, stellt weder eine Verletzung des Untersuchungsgrundsatzes noch des rechtlichen Gehörs dar; vielmehr handelt es sich um eine materielle Frage.</w:t>
      </w:r>
    </w:p>
    <w:p>
      <w:r>
        <w:rPr>
          <w:b/>
        </w:rPr>
        <w:t>E. 4.4</w:t>
      </w:r>
    </w:p>
    <w:p>
      <w:r>
        <w:t>Nach dem Gesagten erweisen sich die verfahrensrechtlichen Rügen des Beschwerdeführers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der Fingerabdrücke des Beschwerdeführers mit der Fingerabdruck-Datenbank ergab, dass dieser am 29. Oktober 2022 in Kroatien ein Asylgesuch eingereicht hatte. Das SEM ersuchte deshalb die kroatischen Behörden am 9. Dezember 2022 um Wiederaufnahme des Beschwerdeführers. Nachdem die kroatischen Behörden dem Gesuch um Rückübernahme gestützt auf Art. 20 Abs. 5 Dublin-III-VO innert der in Art. 25 Abs. 1 Dublin-III-VO festgelegten Frist zugestimmt und gleichzeitig darauf hingewiesen haben, der Beschwerdeführer habe das Empfangszentrum bereits am 31. Oktober 2022, noch vor der ersten Befragung, verlassen, ist die Zuständigkeit Kroatiens grundsätzlich gegeben; sie wird auf Beschwerdeebene zu Recht auch nicht bestritten.</w:t>
      </w:r>
    </w:p>
    <w:p>
      <w:r>
        <w:rPr>
          <w:b/>
        </w:rPr>
        <w:t>E. 7.1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(mithin auch dem Non-Refoulment-Gebot [dieses umfasst auch die Kettenabschiebung]) grundsätzlich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im Sinne der Praxis des Bundesverwaltungsgerichts zutreffend dargelegt, dass aktuell, auch unter Würdigung von kritischen Berichten nationaler und internationaler Organisationen bezüglich dem kroatischen Asylverfahren,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D-254/2023 vom 8. Februar 2023 E. 7.1.1, m.w.H.).</w:t>
      </w:r>
    </w:p>
    <w:p>
      <w:r>
        <w:rPr>
          <w:b/>
        </w:rPr>
        <w:t>E. 7.1.2</w:t>
      </w:r>
    </w:p>
    <w:p>
      <w:r>
        <w:t>Auch unter Berücksichtigung der vom Beschwerdeführer anlässlich des persönlichen Gesprächs vom 16. Dezember 2022 geschilderten und in der Beschwerdeschrift (vgl. S. 4) teilweise wiederholten Erlebnisse und die angebliche, unter dem Vorwurf des Extremismus erfolgte Verhaftung von Tschetschenen in Kroatien (vgl. Beschwerde S. 6) ist nicht davon auszugehen, Kroatien verstosse systematisch gegen seine vertraglichen Verpflichtungen. Die vom Beschwerdeführer für die Zeit seines Aufenthaltes in Kroatien geltend gemachten Drohungen durch Landsleute (und auch die ihm angeblich zu Ohren gekommenen "hässlichen Geschichten über kroatische Polizisten") rechtfertigen es nicht, davon auszugehen, dass er bei einer Rückkehr mit hoher Wahrscheinlichkeit Opfer einer unmenschlichen oder erniedrigenden Behandlung im Sinne von Art. 3 EMRK, Art. 3 FoK oder Art. 4 EU-Grundrechtecharta wird. Bei Fehlverhalten von Privatpersonen oder einzelner Beamter könnte er sich - trotz der entsprechenden Kritik auf Beschwerdeebene - an die zuständigen kroatischen Stellen wenden. Die zusammen mit der Beschwerde eingereichte Kopie einer (auch den Namen des Beschwerdeführers nennenden) Liste von angeblich zum Kriegsdienst für Russland aufgerufenen Personen vermag an dieser Feststellung nichts zu ändern, zumal diese Liste ausser einigen Namen keinerlei weitere Angaben enthält. Es ist auch nicht davon auszugehen, dass er bei einer Wegweisung nach Kroatien in eine existenzielle Notlage geraten könnte.</w:t>
      </w:r>
    </w:p>
    <w:p>
      <w:r>
        <w:rPr>
          <w:b/>
        </w:rPr>
        <w:t>E. 7.1.3</w:t>
      </w:r>
    </w:p>
    <w:p>
      <w:r>
        <w:t>In der Beschwerde (vgl. insbesondere S. 8 f.) werden des Weiteren die sogenannten Push-backs thematisiert. Wegen dieser Ereignisse sieht sich Kroatien schon seit geraumer Zeit mit Vorwürfen konfrontiert. Wie in der angefochtenen Verfügung ausführlich und zutreffend festgestellt wird (vgl. dort S. 3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wird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Urteile des BVGer D-254/2023 vom 8. Februar 2023 E. 7.1.3 und D-5976/2022 vom 5. Januar 2023 E. 7.2, m.w.H.).</w:t>
      </w:r>
    </w:p>
    <w:p>
      <w:r>
        <w:rPr>
          <w:b/>
        </w:rPr>
        <w:t>E. 7.1.4</w:t>
      </w:r>
    </w:p>
    <w:p>
      <w:r>
        <w:t>Unter diesen Umständen ist die Anwendung von Art. 3 Abs. 2 Dublin-III-VO nicht gerechtfertigt.</w:t>
      </w:r>
    </w:p>
    <w:p>
      <w:r>
        <w:rPr>
          <w:b/>
        </w:rPr>
        <w:t>E. 7.2.1</w:t>
      </w:r>
    </w:p>
    <w:p>
      <w:r>
        <w:t>In der Beschwerdeschrift (vgl. S. 5) wird ausgeführt, der Beschwerdeführer sei gemäss seinen Angaben (...) und habe "immense (...)", weil seine (...) sei. Seit einigen Wochen leide er zudem an (...). Der Arzt in D._______ habe ihm gesagt, dass eine (...) notwendig sei, und ihm (...) verabreicht. Ungeachtet der Tatsache, dass der Beschwerdeführer anlässlich des Dublin-Gesprächs angegeben hatte, ausser (...) keine gesundheitlichen Probleme zu haben (und das am 9. Dezember 2022 in D._______ durchgeführte (...) einen negativen Befund ergeben hatte), und die nunmehr vorgebrachten Beschwerden durch keine entsprechende Berichte oder Zeugnisse dokumentiert werden,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7.2.2</w:t>
      </w:r>
    </w:p>
    <w:p>
      <w:r>
        <w:t>Eine solche Situation ist aufgrund der vorstehend (vgl. E. 7.2.1) aufgeführten Beschwerden vorliegend offenkundig nicht gegeben, zumal - wie bereits festgestellt - die neu vorgebrachten gesundheitlichen Probleme weder substanziiert noch durch entsprechende Beweismittel untermauert werden. Der Beschwerdeführer war im vorinstanzlichen Verfahren durch die zugewiesene Rechtsvertretung vertreten, weshalb er sich - falls ihm die nötige gesundheitliche Betreuung versagt geblieben wäre - an diese zu wenden gehabt hätte. Für weitere Abklärungen besteht keine Veranlassung, ebenso wenig - angesichts der medizinischen Versorgung in Kroatien (vgl. nachstehend) - für die Ansetzung einer Nachfrist für eine Beschwerdeergänzung beziehungsweise die Einreichung weiterer Beweismittel. Die gesundheitlichen Beeinträchtigungen sind zudem auch nicht von einer Schwere, die die Feststellung der Unzulässigkeit im Sinne der restriktiven Rechtsprechung zu rechtfertigen vermöchte. Zudem könnten sie in Kroatien behandelt werden, verfügt das Land doch über eine ausreichende medizinische Infrastruktur. Im Übrigen bieten nebst den staatlichen Einrichtungen auch Nichtregierungsorganisationen Hilfestellung bei der psychologischen Betreuung von Asylsuchenden an, womit von einem genügenden Behandlungsangebot auszugehen ist (vgl. Urteil des BVGer D-254/2023 vom 8. Februar 2023 E. 7.2.4 m.w.H.).</w:t>
      </w:r>
    </w:p>
    <w:p>
      <w:r>
        <w:rPr>
          <w:b/>
        </w:rPr>
        <w:t>E. 7.2.3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 entgegen der in der Beschwerdeschrift (vgl. S. 12) vertretenen Auffassung - keine Gründe, die ein Abweichen von dieser Regel gebieten würden. Die schweizerischen Behörden, die mit dem Vollzug der angefochtenen Verfügung beauftragt sind, werden dem aktuellen Gesundheitszustand des Beschwerdeführers bei der Organisation der Überstellung nach Kroatien Rechnung tragen, indem sie - falls nötig - die dortigen Behörden im Sinne von Art. 31 und Art. 32 Dublin-III-VO vorgängig über den Gesundheitszustand und die allenfalls notwendige medizinische Behandlung des Beschwerdeführers informieren werden. Das Subeventualbegehren, bei den zuständigen kroatischen Behörden Zusicherungen einzuholen, ist daher abzuweisen.</w:t>
      </w:r>
    </w:p>
    <w:p>
      <w:r>
        <w:rPr>
          <w:b/>
        </w:rPr>
        <w:t>E. 7.3</w:t>
      </w:r>
    </w:p>
    <w:p>
      <w:r>
        <w:t>Nach dem Gesagten kann der Beschwerdeführer kein konkretes und ernsthaftes Risiko dartun, dass seine Überstellung nach Kroatien die Verletzung völkerrechtlicher Bestimmungen zur Folge hätte.</w:t>
      </w:r>
    </w:p>
    <w:p>
      <w:r>
        <w:rPr>
          <w:b/>
        </w:rPr>
        <w:t>E. 7.4</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7.5</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des Bundesgesetzes vom 16. Dezember 2005 über die Ausländerinnen und Ausländer und über die Integration (AIG; SR 142.20) unter diesen Umständen nicht mehr zu prüfen sind (vgl. BVGE 2015/18 E. 5.2 m.w.H.).</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 Ebenfalls abzuweisen ist das Begehren um Ansetzung einer Nachfrist zur Einreichung einer Beschwerdeergänzung, zumal die Eingabe vom 16. März 2023 den gesetzlichen Anforderungen an eine Beschwerde genügte und keine weiteren Abklärungen erforderlich sind.</w:t>
      </w:r>
    </w:p>
    <w:p>
      <w:r>
        <w:rPr>
          <w:b/>
        </w:rPr>
        <w:t>E. 11.1</w:t>
      </w:r>
    </w:p>
    <w:p>
      <w:r>
        <w:t>Der am 17. März 2023 verfügte Vollzugsstopp fällt mit dem vorliegenden Urteil dahin.</w:t>
      </w:r>
    </w:p>
    <w:p>
      <w:r>
        <w:rPr>
          <w:b/>
        </w:rPr>
        <w:t>E. 11.2</w:t>
      </w:r>
    </w:p>
    <w:p>
      <w:r>
        <w:t>Mit dem Entscheid in der Hauptsache sind die Gesuche um Erteilung der aufschiebenden Wirkung und um Verzicht auf die Erhebung eines Kostenvorschusses gegenstandslos geworden.</w:t>
      </w:r>
    </w:p>
    <w:p>
      <w:r>
        <w:rPr>
          <w:b/>
        </w:rPr>
        <w:t>E. 12.1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