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D-1482/2022 vom 21. März 2022</w:t>
      </w:r>
    </w:p>
    <w:p>
      <w:r>
        <w:t>Bundesverwaltungsgericht, 2022-03-21, DE</w:t>
      </w:r>
    </w:p>
    <w:p>
      <w:r>
        <w:rPr>
          <w:b/>
        </w:rPr>
        <w:t xml:space="preserve">Quelle: </w:t>
      </w:r>
      <w:r>
        <w:t>https://mcp.opencaselaw.ch/entscheid/bvger_D-1482_2022_d20220321</w:t>
      </w:r>
    </w:p>
    <w:p>
      <w:r>
        <w:t>FR: TAF D-1482/2022 du 21 mars 2022</w:t>
      </w:r>
    </w:p>
    <w:p>
      <w:r>
        <w:t>IT: TAF D-1482/2022 del 21 marzo 2022</w:t>
      </w:r>
    </w:p>
    <w:p>
      <w:pPr>
        <w:pStyle w:val="Heading2"/>
      </w:pPr>
      <w:r>
        <w:t>Regeste</w:t>
      </w:r>
    </w:p>
    <w:p>
      <w:r>
        <w:t>Asyl und Wegweisung (verk&amp;uuml;rzte Beschwerdefrist) | Asyl und Wegweisung (verkürzte Beschwerdefrist); Verfügung des SEM vom 21.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Der vorliegenden Beschwerde kommt von Gesetzes wegen aufschie- bende Wirkung zu (vgl. Art. 42 AsylG und Art. 55 VwVG) und die Vorinstanz hat diese auch nicht entzogen. Auf den Eventualantrag um Wiederherstel- lung der aufschiebenden Wirkung ist daher nicht einzutreten.</w:t>
      </w:r>
    </w:p>
    <w:p>
      <w:r>
        <w:t>D-1482/2022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Vorweg ist auf die formelle Rüge des Beschwerdeführers einzugehen, wonach ihm das rechtliche Gehör verweigert worden sei, da diese Rüge allenfalls geeignet wäre, eine Kassation der angefochtenen Verfügung zu bewirken.</w:t>
      </w:r>
    </w:p>
    <w:p>
      <w:r>
        <w:rPr>
          <w:b/>
        </w:rPr>
        <w:t>E. 3.2</w:t>
      </w:r>
    </w:p>
    <w:p>
      <w:r>
        <w:t>Der Beschwerdeführer rügt konkret, das SEM habe seinen Anspruch auf rechtliches Gehör verweigert, indem es den von ihm eingereichten Be- weismitteln – aus diesen sei klar ersichtlich, dass die indischen Behörden nicht bereit seien, in Religionsangelegenheiten etwas zu unternehmen – kein Gewicht verliehen habe oder diese gar nicht berücksichtigt habe. Diese Rüge zielt ins Leere. Die Vorinstanz ging in ihrer Begründung zwar nicht explizit auf jedes der vom Beschwerdeführer eingereichten Beweis- mittel ein. Sie hat indessen die wesentlichen Überlegungen genannt, von denen sie sich hat leiten lassen und auf die sie ihren Entscheid stützte. Nicht erforderlich ist, dass sich die Begründung mit allen Parteistandpunk- ten einlässlich auseinandersetzt und jedes einzelne Vorbringen ausdrück- lich widerlegt (vgl. BGE 136 I 184 E. 2.2.1 m.w.H.).</w:t>
      </w:r>
    </w:p>
    <w:p>
      <w:r>
        <w:rPr>
          <w:b/>
        </w:rPr>
        <w:t>E. 3.3</w:t>
      </w:r>
    </w:p>
    <w:p>
      <w:r>
        <w:t>Es besteht damit keinen Grund, die angefochtene Verfügung aus for- mellen Gründen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w:t>
      </w:r>
    </w:p>
    <w:p>
      <w:r>
        <w:t>D-1482/2022 Seite 8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zusammengefasst zum Schluss, dass die Vorbringen des Beschwerdeführers den Anforderungen an die Flüchtlingseigenschaft gemäss Art. 3 AsylG nicht standzuhalten ver- möchten, weshalb darauf verzichtet werden könne, auf allfällige Unglaub- haftigkeitselemente in den Vorbringen einzugehen. Indien sei ein verfol- gungssicherer Staat im Sinne von Art. 6a Abs. 2 Bst. a AsylG, bei welchem die gesetzliche Regelvermutung bestehe, dass eine flüchtlingsrechtlich re- levante staatliche Verfolgung nicht stattfinde und Schutz vor nichtstaatli- cher Verfolgung gewährleistet sei. Der Beschwerdeführer habe geltend ge- macht, dass er und seine (mit ihm zusammenlebenden) Familienangehöri- gen von unbekannten maskierten Männern und von Anhängern der RSS, der Hindu Sangathan, der BJP und der Congress Party beschimpft, ge- schlagen, gedemütigt und mit dem Tod bedroht worden seien, weil sie zum Christentum konvertiert seien. Die Angaben des Beschwerdeführers hin- sichtlich seiner Bemühungen, bei verschiedenen Polizeiposten und über die Online-Plattform "(…)" Hilfe zu erhalten, vermöchten die gesetzliche Regelvermutung indes nicht umzustossen. Auch wenn die Polizei oder ein Gericht sich geweigert haben sollte, ihm zu helfen und es der lokalen Poli- zeibehörde nicht gelungen sein sollte, die unbekannten Täter zur Verant- wortung zu ziehen, vermöge dies an der Einschätzung, dass ein hinrei- chender Schutz durch die indischen Behörden gewährleistet sei, nichts zu ändern. Einzelne Verfehlungen von Polizisten seien nicht geeignet, den Schutzwillen oder die Schutzfähigkeit der indischen Polizei grundsätzlich in Frage zu stellen. So hätte der Beschwerdeführer weitere Möglichkeiten</w:t>
      </w:r>
    </w:p>
    <w:p>
      <w:r>
        <w:t>D-1482/2022 Seite 9 gehabt, sich zur Wehr zu setzen, wie beispielsweise mit Hilfe eines Rechts- anwaltes an eine höhere Instanz zu gelangen oder den Rechtsweg zu be- gehen. Die Beweismittel vermöchten den Entscheid des SEM nicht umzu- stossen. So habe der Beschwerdeführer bezüglich der eingereichten Ant- wort vom (…) 2021 aus dem Online-Portal "(…)" zu Protokoll gegeben, die Behörde würde festhalten, dass sein Fall nach Rücksprache mit ihm abge- schlossen werde und er zufrieden mit den Untersuchungen sei; dies könne ja alles nicht sein, weil er sich zu diesem Zeitpunkt bereits in der Schweiz aufgehalten habe. In diesem Zusammenhang habe er zudem den von ihm unter Zwang signierten Rückzug der Beschwerde vom (…) 2021 zu den Akten gereicht. In eben diesem stehe geschrieben, dass er keine weiteren rechtlichen Schritte einleiten lassen wolle. In allen Rubriken der Rückmel- dung auf der Plattform sei vermerkt, dass er keine weiteren rechtlichen Schritte einleiten wolle. In der Tat werde festgehalten, dass er hinsichtlich des Vorfalls vom (…) 2021 in die Ermittlungen einbezogen worden sei, al- lerdings stehe nicht, wann oder gestützt worauf dies der Fall gewesen sein soll. Der Beschwerdeführer sei nach dem Gesagten nicht auf den Schutz der Schweiz angewiesen. An dieser Einschätzung vermöchten auch die Akten seines Neffen nichts zu ändern.</w:t>
      </w:r>
    </w:p>
    <w:p>
      <w:r>
        <w:rPr>
          <w:b/>
        </w:rPr>
        <w:t>E. 5.2</w:t>
      </w:r>
    </w:p>
    <w:p>
      <w:r>
        <w:t>Der Beschwerdeführer wiederholte in der Beschwerdeschrift seine Asylvorbringen und hielt der vorinstanzlichen Begründung – unter Hinweis auf einen Online-Zeitungsartikel ([…]), einen Bericht von Open Doors (In- dia: Full Country Dossier, December 2021) sowie deren Weltverfolgungs- index, eine Schnellrecherche der SFH-Länderanalyse (Indien: Konversion und Christentum, 7. Mai 2020) und einen Videofilm auf Youtube – zusam- mengefasst entgegen, dass man in Indien als Christ den Glauben nicht frei ausüben könne und in Angst leben müsse. Radikale Hindu-Gruppen wür- den Druck auf die einheimischen Christen ausüben, damit sie ihren Glau- ben an das Christentum aufgeben und rückkonvertieren würden. Verschie- dene Staaten in Indien hätten ein Anti-Konversionsgesetz eingeführt, das lange Gefängnisstrafen vorsehe, wenn jemand unter Verstoss gegen das Gesetz zu einer anderen Religion als dem Hinduismus konvertiere. Weitere Bundesstaaten in Indien, in welchen die BJP an der Macht sei, würden ähnliche Gesetze in Erwägung ziehen. Mit diesen Gesetzen würde die Ver- folgung gegen die Christen gerechtfertigt. Der indische Staat sei gegen- über Christen nicht schutzwillig. Die Mehrheit der Personen, die höhere Funktionen wahrnehmen und sich für den Erhalt der Gesetze und Gerech- tigkeit einsetzen sollten, seien selbst Hinduisten und würden einen hindu-</w:t>
      </w:r>
    </w:p>
    <w:p>
      <w:r>
        <w:t>D-1482/2022 Seite 10 istischen Staat anstreben. Sie seien korrupt, würden mit Gewalt und will- kürlich handeln. Dies würden auch seine Vorbringen und die von ihm ein- gereichten Beweismittel zeigen.</w:t>
      </w:r>
    </w:p>
    <w:p>
      <w:r>
        <w:rPr>
          <w:b/>
        </w:rPr>
        <w:t>E. 6.1</w:t>
      </w:r>
    </w:p>
    <w:p>
      <w:r>
        <w:t>Das Gericht gelangt nach Prüfung der Akten – in Übereinstimmung mit dem SEM – zum Schluss, dass die Vorbringen des Beschwerdeführers den Anforderungen an die Flüchtlingseigenschaft gemäss Art. 3 AsylG nicht standzuhalten vermögen. Die sich stellende Frage, ob angesichts der Rückkehr der Familie nach B._______ nach den behaupteten Vorfällen in J._______ sowie angesichts des Verbleibs der Eltern des Beschwerdefüh- rers und der Mutter seines Neffen in B._______ überhaupt eine begründete Furcht vor asylrelevanter (und damit genügend intensiver) Verfolgung be- jaht werden kann, kann dabei – wie im Übrigen die Frage der Glaubhaf- tigkeit seiner Vorbringen – offengelassen werden.</w:t>
      </w:r>
    </w:p>
    <w:p>
      <w:r>
        <w:rPr>
          <w:b/>
        </w:rPr>
        <w:t>E. 6.2.1</w:t>
      </w:r>
    </w:p>
    <w:p>
      <w:r>
        <w:t>So hat das SEM in der angefochtenen Verfügung zu Recht darauf hingewiesen, dass Indien durch den Bundesrat als verfolgungssicherer Staat ("Safe Country") gemäss Art. 6a Abs. 2 Bst. a AsylG bezeichnet wur- de. Im Rahmen der periodischen Überprüfung (vgl. Art. 6a Abs. 3 AsylG) ist die Schweizer Regierung darauf bisher nicht zurückgekommen (vgl. An- hang 2 der Asylverordnung 1 vom 11. August 1999 [AsylV 1, SR 142.311]). Die Bezeichnung eines Landes als "Safe Country" beinhaltet die Regelver- mutung, dass asylrelevante staatliche Verfolgung nicht stattfinde und Schutz vor nichtstaatlicher Verfolgung gewährleistet sei. Hierbei handelt es sich um eine relative Verfolgungssicherheit, welche im Einzelfall auf Grund konkreter und substantiierter Hinweise umgestossen werden kann.</w:t>
      </w:r>
    </w:p>
    <w:p>
      <w:r>
        <w:rPr>
          <w:b/>
        </w:rPr>
        <w:t>E. 6.2.2</w:t>
      </w:r>
    </w:p>
    <w:p>
      <w:r>
        <w:t>Bei dieser Ausgangslage darf davon ausgegangen werden, dass Christen in Indien nicht generell verfolgt werden, respektive dass grund- sätzlich auch ihnen Schutz vor nichtstaatlicher Verfolgung gewährt wird. Mithin zielen die generellen Ausführungen in der Beschwerde zur Situation von (konvertierten) Christen in Indien ins Leere. Diese basieren denn auch zum einen auf der vor bereits knapp zwei Jahren erstellten Schnellrecher- che der SFH-Länderanalyse; im Hinblick auf den in der Beschwerde zitier- ten aktuellsten Bericht von Open Doors ist sodann darauf hinzuweisen, dass sich die Platzierung Indiens im Weltverfolgungsindex von Open Doors seit 2019 nicht veränderte. Zum anderen basieren die generellen Ausfüh- rungen in der Beschwerde auf einem Online-Zeitungsartikel, der sich vor allem auf den Bundesstaat M._______ bezieht und welchem im Übrigen</w:t>
      </w:r>
    </w:p>
    <w:p>
      <w:r>
        <w:t>D-1482/2022 Seite 11 auch zu entnehmen ist, dass die (dortigen) Behörden durchaus gewillt sind, Christen respektive christliche Einrichtungen zu schützen. Insbesondere vermögen auch die Hinweise auf die in verschiedenen Bundesstaaten – offenbar nicht jedoch im Bundesstaat D._______ – geltenden Anti-Konver- sionsgesetze, die unter Zwang, Locken und/oder Vorspielen falscher Tat- sachen erfolgte Religionswechsel unter Strafe stellen (vgl. 2. Bericht der Bundesregierung zur weltweiten Lage der Religionsfreiheit, Berichtszeit- raum 2018 bis 2019, S. 181), nichts an der obengenannten Regelvermu- tung zu ändern.</w:t>
      </w:r>
    </w:p>
    <w:p>
      <w:r>
        <w:rPr>
          <w:b/>
        </w:rPr>
        <w:t>E. 6.2.3</w:t>
      </w:r>
    </w:p>
    <w:p>
      <w:r>
        <w:t>Dem Beschwerdeführer ist es sodann – in Übereinstimmung mit dem SEM – nicht gelungen, darzutun, dass die indischen Behörden in seinem Fall nicht schutzfähig und schutzwillig wären. Gemäss seinen Angaben wandte er sich zwar mehrmals an diverse Stellen (insb. Polizeiposten, hö- herer Polizeioffizier und Gericht in B._______, Polizeiposten in I._______ und Chief Minister von D._______), wobei ihm wiederholt wegen seiner Religionszugehörigkeit respektive wegen Unzuständigkeit nicht geholfen worden sein soll. Die Polizei in I._______ nahm seine Anzeige bezüglich des Vorfalls vom (…) 2021 aber offenbar entgegen und auch der Chief Mi- nister von D._______ behandelte seine Beschwerde insofern, als er auf die Zuständigkeit des Polizeipostens in B._______ hinwies; gemäss den ein- gereichten Unterlagen bezog sich das (anschliessende) Verfahren auf den behaupteten Vorfall vom (…) 2021. Zu diesen beiden Verfahren reichte der Beschwerdeführer auch zwei schriftliche Erklärungen zuhanden der Polizei ein, gemäss welchen er keine weiteren rechtlichen Schritte einleiten lassen wolle respektive er die Anzeige zurückziehe (vgl. Akten SEM 1107843- 34/13 S. 7 und 1107843-15/13 F25; vgl. dagegen übersetzter Inhalt des betreffenden Schreibens: 1107843-34/13 S. 1). Dass er dabei jeweils leere Blätter unterschrieben haben soll, erscheint – insbesondere auch unter Be- rücksichtigung seiner Bildung (vgl. 1107843-15/13 F45) – wenig überzeu- gend, zumal er die diesbezüglichen Drucksituationen nicht näher erläuterte (vgl. 1107843-15/13 F25 und 77 [S. 11 und 12]). Selbst wenn er sodann die entsprechenden Erklärungen unter Schlägen abgegeben haben soll, hielt das SEM in der angefochtenen Verfügung – auch in Bezug auf die angeb- liche Weigerung der Entgegennahme einer Anzeige durch den Polizeipos- ten (und den höheren Polizeioffizier) in B._______ zu den weiteren be- haupteten Vorfällen – zu Recht fest, dass dies an der Einschätzung, wo- nach ein hinreichender Schutz durch die indischen Behörden grundsätzlich gewährleistet sei, nichts zu ändern vermöge. Das Gleiche gilt auch hin- sichtlich der behaupteten erfolglosen Klageeinreichung beim Gericht in</w:t>
      </w:r>
    </w:p>
    <w:p>
      <w:r>
        <w:t>D-1482/2022 Seite 12 B._______, wobei darauf hinzuweisen ist, dass der Neffe des Beschwer- deführers nichts dergleichen erwähnte, obwohl er dem Beschwerdeführer zufolge vor Gericht anwesend gewesen sein soll (vgl. 1107843-32/19 F59 und 62); aus den Ausführungen des Beschwerdeführers wird im Übrigen nicht klar, was genau Gegenstand seiner Klageschrift gewesen sein soll (1107843-32/19 F52 und 59 ff.). Es wäre und ist dem Beschwerdeführer möglich und zumutbar (gewesen), sich – allenfalls mithilfe eines anderen Anwaltes – erneut an die Polizei oder das Gericht respektive bei fehlbarem Verhalten sämtlicher Polizeibeamter und des untersten Gerichts an die nächsthöhere gerichtliche Instanz zu wenden. Daran vermögen weder die behauptete (vormalige) Kastenzugehörigkeit des Beschwerdeführers, noch der Hinweis auf die gemäss eingereichtem "Untersuchungsbericht" angeblich in seiner Anwesenheit durchgeführten Verhandlung im Novem- ber 2021 etwas zu ändern. Dass es den Behörden sodann allenfalls nicht gelingt, die unbekannten Täter zur Verantwortung zu ziehen, stellt die grundsätzliche Schutzfähigkeit der indischen Behörden nicht in Frage.</w:t>
      </w:r>
    </w:p>
    <w:p>
      <w:r>
        <w:rPr>
          <w:b/>
        </w:rPr>
        <w:t>E. 6.2.4</w:t>
      </w:r>
    </w:p>
    <w:p>
      <w:r>
        <w:t>Schliesslich ist vor allem darauf hinzuweisen, dass sich der Be- schwerdeführer – unter Hinweis auf seine Bildung und Arbeitserfahrung (vgl. 1107843-15/13 F41 ff.) – in einem anderen indischen Bundesstaat hätte niederlassen können, um der behaupteten Verfolgung durch radikale Hindus zu entgehen respektive seine behauptete christliche Religion frei ausüben zu können. Daran vermag das Vorbringen nichts zu ändern, dass er und seine Familie auch in J._______ durch solche belästigt worden sein sollen.</w:t>
      </w:r>
    </w:p>
    <w:p>
      <w:r>
        <w:rPr>
          <w:b/>
        </w:rPr>
        <w:t>E. 6.3</w:t>
      </w:r>
    </w:p>
    <w:p>
      <w:r>
        <w:t>Nach dem Gesagten ist die Vorinstanz in der angefochtenen Verfügung zu Recht zum Schluss gekommen, dass der Beschwerdeführer nicht auf den Schutz der Schweiz angewiesen ist. Demzufolge hat sie auch zu Recht seine Flüchtlingseigenschaft verneint und sein Asylgesuch abgelehnt. Die weiteren Beschwerdevorbringen und insbesondere das verlinkte Youtube- Video ohne erkennbaren direkten Bezug zum Beschwerdeführer, sind nicht geeignet, eine Änderung dieser Einschätzung zu bewirken,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D-1482/2022 Seite 13</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D-1482/2022 Seite 14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dem Beschwerdeführer unter Hinweis auf die vorstehen- den Erwägungen nicht gelungen. Auch die allgemeine Menschenrechtssi- tuation in Indien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Indien ist weder von Bürgerkrieg noch von allgemeiner Gewalt gekennzeichnet, so dass der Vollzug der Wegweisung dorthin grundsätzlich zumutbar ist. Zudem gilt Indien – wie erwähnt – als "Safe Country".</w:t>
      </w:r>
    </w:p>
    <w:p>
      <w:r>
        <w:rPr>
          <w:b/>
        </w:rPr>
        <w:t>E. 8.3.3</w:t>
      </w:r>
    </w:p>
    <w:p>
      <w:r>
        <w:t>Auch in individueller Hinsicht spricht nichts gegen die Zumutbarkeit des Wegweisungsvollzugs. Der Beschwerdeführer verfügt über einen (…) in (…) und arbeitete in seinem Heimatstaat als (…) (vgl. 1107843-15/13 F41ff.). Es ist daher davon auszugehen, dass er bei einer Rückkehr in sein Heimatland – wie bereits vor seiner Ausreise – wieder für seinen Lebens- unterhalt wird aufkommen können. Gemäss Akten hat er sodann keine (schwerwiegenden) gesundheitlichen Probleme (vgl. 1107843-15/13 F9; 1107843-32/19 F4 ff.).</w:t>
      </w:r>
    </w:p>
    <w:p>
      <w:r>
        <w:t>D-1482/2022 Seite 15 Die Beschwerdevorbringen unter dem Titel "Wegweisungshindernisse" sind – unter Hinweis auf das vorstehend Ausgeführte – nicht geeignet, um zu einer anderen Einschätzung zu gelangen. Insbesondere vermögen die Hinweise zu den Integrationsbemühungen in der Schweiz nicht zur Unzu- mutbarkeit des Wegweisungsvollzugs zu führen.</w:t>
      </w:r>
    </w:p>
    <w:p>
      <w:r>
        <w:rPr>
          <w:b/>
        </w:rPr>
        <w:t>E. 8.3.4</w:t>
      </w:r>
    </w:p>
    <w:p>
      <w:r>
        <w:t>Nach dem Gesagten erweist sich der Vollzug der Wegweisung auch als zumutbar.</w:t>
      </w:r>
    </w:p>
    <w:p>
      <w:r>
        <w:rPr>
          <w:b/>
        </w:rPr>
        <w:t>E. 8.4</w:t>
      </w:r>
    </w:p>
    <w:p>
      <w:r>
        <w:t>Schliesslich verfügt der Beschwerdeführer über einen gültigen Reise- pass, weshalb der Vollzug der Wegweisung auch als möglich zu bezeich- 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Mit dem vorliegenden Entscheid in der Hauptsache ist das Gesuch um Verzicht auf die Erhebung eines Kostenvorschusses gegenstandslos geworden.</w:t>
      </w:r>
    </w:p>
    <w:p>
      <w:r>
        <w:rPr>
          <w:b/>
        </w:rPr>
        <w:t>E. 10.2</w:t>
      </w:r>
    </w:p>
    <w:p>
      <w:r>
        <w:t>Bei diesem Ausgang des Verfahrens wären die Kosten dem Be- schwerdeführer aufzuerlegen (Art. 63 Abs. 1 VwVG; Art. 1–3 des Regle- ments vom 21. Februar 2008 über die Kosten und Entschädigungen vor dem Bundesverwaltungsgericht [VGKE, SR 173.320.2]). Seine Rechtsbe- gehren können jedoch nicht von vornherein als aussichtslos betrachtet werden. Auch wenn sodann gemäss eingereichter Bestätigung die finanzi- elle Unterstützung durch den zuständigen Kanton am (…) 2022 endete, ist hinsichtlich seiner Arbeitstätigkeit angesichts der kurzen Vorlaufzeit nach wie vor von seiner prozessualen Bedürftigkeit auszugehen. Das Gesuch um Gewährung der unentgeltlichen Prozessführung gemäss Art. 65 Abs. 1 VwVG ist daher gutzuheissen und es sind somit keine Verfahrenskosten zu erheben.</w:t>
      </w:r>
    </w:p>
    <w:p>
      <w:r>
        <w:t>D-1482/2022 Seite 16</w:t>
      </w:r>
    </w:p>
    <w:p>
      <w:r>
        <w:rPr>
          <w:b/>
        </w:rPr>
        <w:t>E. 10.3</w:t>
      </w:r>
    </w:p>
    <w:p>
      <w:r>
        <w:t>Der Beschwerdeführer hat die rechtsgenügliche Beschwerdeschrift offenbar selbst verfasst, wobei aus Form und Inhalt der Rechtsmittelein- gabe ersichtlich ist, dass er über einen juristischen Beistand verfügt hat. Die Beiordnung eines amtlichen Rechtsbeistands (Art. 102m Abs. 1 AsylG), auf die der Beschwerdeführer eigentlich Anspruch hätte, würde folglich ei- nen prozessualen Leerlauf darstellen. Das diesbezügliche Gesuch ist da- her abzuweisen.</w:t>
      </w:r>
    </w:p>
    <w:p>
      <w:r>
        <w:t>(Dispositiv nächste Seite)</w:t>
      </w:r>
    </w:p>
    <w:p>
      <w:r>
        <w:t>D-1482/2022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