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D-1479/2022 vom 21. März 2022</w:t>
      </w:r>
    </w:p>
    <w:p>
      <w:r>
        <w:t>Bundesverwaltungsgericht, 2022-03-21, DE</w:t>
      </w:r>
    </w:p>
    <w:p>
      <w:r>
        <w:rPr>
          <w:b/>
        </w:rPr>
        <w:t xml:space="preserve">Quelle: </w:t>
      </w:r>
      <w:r>
        <w:t>https://mcp.opencaselaw.ch/entscheid/bvger_D-1479_2022_d20220321</w:t>
      </w:r>
    </w:p>
    <w:p>
      <w:r>
        <w:t>FR: TAF D-1479/2022 du 21 mars 2022</w:t>
      </w:r>
    </w:p>
    <w:p>
      <w:r>
        <w:t>IT: TAF D-1479/2022 del 21 marzo 2022</w:t>
      </w:r>
    </w:p>
    <w:p>
      <w:pPr>
        <w:pStyle w:val="Heading2"/>
      </w:pPr>
      <w:r>
        <w:t>Regeste</w:t>
      </w:r>
    </w:p>
    <w:p>
      <w:r>
        <w:t>Asyl und Wegweisung (verk&amp;uuml;rzte Beschwerdefrist) | Asyl und Wegweisung (verkürzte Beschwerdefrist); Verfügung des SEM vom 21.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t>D-1479/2022 Seite 6</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 unter Vorbehalt der nachfolgenden Erwägung – einzutreten.</w:t>
      </w:r>
    </w:p>
    <w:p>
      <w:r>
        <w:rPr>
          <w:b/>
        </w:rPr>
        <w:t>E. 1.4</w:t>
      </w:r>
    </w:p>
    <w:p>
      <w:r>
        <w:t>Der vorliegenden Beschwerde kommt von Gesetzes wegen aufschie- bende Wirkung zu (vgl. Art. 42 AsylG und Art. 55 VwVG) und die Vorinstanz hat diese auch nicht entzogen. Auf den Eventualantrag um Wiederherstel- lung der aufschiebenden Wirkung ist daher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 dieser sog. Schutztheorie BVGE 2011/51 E. 7.1-7.4., 2008/12 E. 7.2.6.2, 2008/4 E. 5.2).</w:t>
      </w:r>
    </w:p>
    <w:p>
      <w:r>
        <w:rPr>
          <w:b/>
        </w:rPr>
        <w:t>E. 3.3</w:t>
      </w:r>
    </w:p>
    <w:p>
      <w:r>
        <w:t>Wer um Asyl nachsucht, muss die Flüchtlingseigenschaft nachweisen oder zumindest glaubhaft machen. Diese ist glaubhaft gemacht, wenn die</w:t>
      </w:r>
    </w:p>
    <w:p>
      <w:r>
        <w:t>D-1479/2022 Seite 7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kam in der angefochtenen Verfügung zusammengefasst zum Schluss, dass die Vorbringen des Beschwerdeführers den Anforderungen an die Flüchtlingseigenschaft gemäss Art. 3 AsylG nicht standzuhalten ver- möchten, weshalb darauf verzichtet werden könne, auf allfällige Unglaub- haftigkeitselemente in den Vorbringen einzugehen. Indien sei ein verfol- gungssicherer Staat im Sinne von Art. 6a Abs. 2 Bst. a AsylG, bei welchem die gesetzliche Regelvermutung bestehe, dass eine flüchtlingsrechtlich re- levante staatliche Verfolgung nicht stattfinde und Schutz vor nichtstaatli- cher Verfolgung gewährleistet sei. Der Beschwerdeführer habe geltend ge- macht, dass er und seine (mit ihm zusammenlebenden) Familienangehöri- gen von unbekannten Männern und von Anhängern der RSS, der Hindu Sangathan, der BJP und der Congress Party beschimpft, geschlagen, ge- demütigt und mit dem Tod bedroht worden seien, weil sie zum Christentum konvertiert seien. Seine Angaben hinsichtlich seiner Bemühungen und der- jenigen seines Onkels, bei verschiedenen Polizeiposten und über die On- line-Plattform "(…)" Hilfe zu erhalten, vermöchten die gesetzliche Regel- vermutung indes nicht umzustossen. Auch wenn die Polizei sich geweigert haben sollte, ihnen zu helfen, und es der lokalen Polizeibehörde nicht ge- lungen sein sollte, die unbekannten Täter zur Verantwortung zu ziehen, vermöge dies an der Einschätzung, dass ein hinreichender Schutz durch die indischen Behörden gewährleistet sei, nichts zu ändern. Einzelne Ver- fehlungen von Polizisten seien nicht geeignet, den Schutzwillen oder die Schutzfähigkeit der indischen Polizei grundsätzlich in Frage zu stellen. So hätte der Beschwerdeführer weitere Möglichkeiten gehabt, sich zur Wehr zu setzen, wie beispielsweise mit Hilfe eines Rechtsanwaltes an eine hö- here Instanz zu gelangen oder den Rechtsweg zu begehen. Der Beschwer- deführer sei somit nicht auf den Schutz der Schweiz angewiesen. An dieser Einschätzung vermögen auch die eingereichten Beweismittel oder die Ak- ten seines Onkels nichts zu ändern.</w:t>
      </w:r>
    </w:p>
    <w:p>
      <w:r>
        <w:rPr>
          <w:b/>
        </w:rPr>
        <w:t>E. 4.2</w:t>
      </w:r>
    </w:p>
    <w:p>
      <w:r>
        <w:t>Der Beschwerdeführer wiederholte in der Beschwerdeschrift seine Asylvorbringen und hielt der vorinstanzlichen Begründung – unter Hinweis auf einen Online-Zeitungsartikel ([…]), einen Bericht von Open Doors (In-</w:t>
      </w:r>
    </w:p>
    <w:p>
      <w:r>
        <w:t>D-1479/2022 Seite 8 dia: Full Country Dossier, December 2021) sowie deren Weltverfolgungs- index, eine Schnellrecherche der SFH-Länderanalyse (Indien: Konversion und Christentum, 7. Mai 2020) und einen Videofilm auf Youtube – im We- sentlichen entgegen, dass man in Indien als Christ den Glauben nicht frei ausüben könne und in Angst leben müsse. Radikale Hindu-Gruppen wür- den Druck auf die einheimischen Christen ausüben, damit sie ihren Glau- ben an das Christentum aufgeben und rückkonvertieren würden. Verschie- dene Staaten in Indien hätten ein Anti-Konversionsgesetz eingeführt, das lange Gefängnisstrafen vorsehe, wenn jemand unter Verstoss gegen das Gesetz zu einer anderen Religion als dem Hinduismus konvertiere. Weitere Bundesstaaten in Indien, in welchen die BJP an der Macht sei, würden ähnliche Gesetze in Erwägung ziehen. Mit diesen Gesetzen würde die Ver- folgung gegen die Christen gerechtfertigt. Die mehrheitlich von Hinduisten besetzten indischen Behörden seien gegenüber Christen nicht schutzwillig. Dies zeige auch der Umstand, dass die entgegengenommene Anzeige zu einem Vorfall auf der Strasse von der Polizei willkürlich abgeschlossen wor- den sei. So habe die Polizei seinen Onkel geschlagen und ihn gezwungen, auf ein leeres Papier zu unterschreiben, wobei sie den Inhalt selbst ergänzt habe. Im entsprechenden Protokoll halte die Behörde fest, dass sein Onkel bei der Verhandlung dabei gewesen und mit dem Verfahrensabschluss zu- frieden sei. Dies sollte im (…) 2021 geschehen sein, was gar nicht möglich sei, da er zu diesem Zeitpunkt bereits in der Schweiz gewesen sei. Das SEM habe das nicht beachtet, obwohl er respektive sein Onkel ein entspre- chendes Beweismittel eingereicht habe.</w:t>
      </w:r>
    </w:p>
    <w:p>
      <w:r>
        <w:rPr>
          <w:b/>
        </w:rPr>
        <w:t>E. 5.1</w:t>
      </w:r>
    </w:p>
    <w:p>
      <w:r>
        <w:t>Das Gericht gelangt nach Prüfung der Akten – in Übereinstimmung mit dem SEM – zum Schluss, dass die Vorbringen des Beschwerdeführers den Anforderungen an die Flüchtlingseigenschaft gemäss Art. 3 AsylG nicht standzuhalten vermögen. Die sich stellende Frage, ob angesichts der Rückkehr der Familie nach B._______ nach den behaupteten Vorfällen in I._______ sowie angesichts des Verbleibs seiner Grosseltern und seiner Mutter in B._______ überhaupt eine begründete Furcht vor asylrelevanter (und damit genügend intensiver) Verfolgung bejaht werden kann, kann da- bei – wie im Übrigen die Frage der Glaubhaftigkeit seiner Vorbringen – of- fengelassen werden.</w:t>
      </w:r>
    </w:p>
    <w:p>
      <w:r>
        <w:rPr>
          <w:b/>
        </w:rPr>
        <w:t>E. 5.2.1</w:t>
      </w:r>
    </w:p>
    <w:p>
      <w:r>
        <w:t>So hat das SEM in der angefochtenen Verfügung zu Recht darauf hingewiesen, dass Indien durch den Bundesrat als verfolgungssicherer</w:t>
      </w:r>
    </w:p>
    <w:p>
      <w:r>
        <w:t>D-1479/2022 Seite 9 Staat ("Safe Country") gemäss Art. 6a Abs. 2 Bst. a AsylG bezeichnet wur- de. Im Rahmen der periodischen Überprüfung (vgl. Art. 6a Abs. 3 AsylG) ist die Schweizer Regierung darauf bisher nicht zurückgekommen (vgl. An- hang 2 der Asylverordnung 1 vom 11. August 1999 [AsylV 1, SR 142.311]). Die Bezeichnung eines Landes als "Safe Country" beinhaltet die Regelver- mutung, dass asylrelevante staatliche Verfolgung nicht stattfinde und Schutz vor nichtstaatlicher Verfolgung gewährleistet sei. Hierbei handelt es sich um eine relative Verfolgungssicherheit, welche im Einzelfall auf Grund konkreter und substantiierter Hinweise umgestossen werden kann.</w:t>
      </w:r>
    </w:p>
    <w:p>
      <w:r>
        <w:rPr>
          <w:b/>
        </w:rPr>
        <w:t>E. 5.2.2</w:t>
      </w:r>
    </w:p>
    <w:p>
      <w:r>
        <w:t>Bei dieser Ausgangslage darf davon ausgegangen werden, dass Christen in Indien nicht generell verfolgt werden, respektive dass grund- sätzlich auch ihnen Schutz vor nichtstaatlicher Verfolgung gewährt wird. Mithin zielen die generellen Ausführungen in der Beschwerde zur Situation von (konvertierten) Christen in Indien ins Leere. Diese basieren denn auch zum einen auf der vor bereits knapp zwei Jahren erstellten Schnellrecher- che der SFH-Länderanalyse; im Hinblick auf den in der Beschwerde zitier- ten aktuellsten Bericht von Open Doors ist sodann darauf hinzuweisen, dass sich die Platzierung Indiens im Weltverfolgungsindex von Open Doors seit 2019 nicht veränderte. Zum anderen basieren die generellen Ausfüh- rungen in der Beschwerde auf einem Online-Zeitungsartikel, der sich vor allem auf den Bundesstaat L._______ bezieht und welchem im Übrigen auch zu entnehmen ist, dass die (dortigen) Behörden durchaus gewillt sind, Christen respektive christliche Einrichtungen zu schützen.</w:t>
      </w:r>
    </w:p>
    <w:p>
      <w:r>
        <w:rPr>
          <w:b/>
        </w:rPr>
        <w:t>E. 5.2.3</w:t>
      </w:r>
    </w:p>
    <w:p>
      <w:r>
        <w:t>Dem Beschwerdeführer ist es sodann – in Übereinstimmung mit dem SEM – nicht gelungen darzutun, dass die indischen Behörden in seinem Fall nicht schutzfähig und schutzwillig wären. Gemäss seinen Angaben im vorinstanzlichen Verfahren (und insb. auch in der Beschwerde) wandten er und sein Onkel sich zwar mehrmals an diverse Stellen (insb. Polizeiposten und höherer Polizeioffizier in B._______, Polizeiposten in K._______ und Chief Minister von D._______), wobei ihnen wiederholt wegen ihrer Religi- onszugehörigkeit respektive wegen Unzuständigkeit nicht geholfen worden sein soll. Seinen Aussagen in der Anhörung auf entsprechende Nachfragen des SEM ist indessen nicht zu entnehmen, dass er und sein Onkel sich – abgesehen von der Beschwerde an den Chief Minister von D._______ – weiter bemüht hätten, gegen die behauptete Untätigkeit der (zuständigen) Polizeibehörden etwas zu unternehmen (vgl. Akten SEM 1107938-13/16 F90 und 97 ff.). Selbst wenn sie sodann – wie von seinem Onkel vorge- bracht – versucht haben, unter Beiziehung eines Anwaltes beim Gericht in</w:t>
      </w:r>
    </w:p>
    <w:p>
      <w:r>
        <w:t>D-1479/2022 Seite 10 B._______ eine Klageschrift einzureichen, welche vom Richter auf den Bo- den geworfen worden sein soll, ändert dies nichts daran, dass es dem Be- schwerdeführer möglich und zumutbar (gewesen) wäre, sich – allenfalls mithilfe eines anderen Anwaltes – erneut an die Polizei oder das Gericht respektive bei fehlbarem Verhalten sämtlicher Polizeibeamter und des un- tersten Gerichts an die nächsthöhere gerichtliche Instanz zu wenden. Da- ran vermögen weder die behauptete (vormalige) Kastenzugehörigkeit des Beschwerdeführers, noch das Beschwerdevorbringen, wonach das Verfah- ren bezüglich eines Vorfalls auf der Strasse (gemeint ist wohl der Vorfall vom […] 2021) willkürlich und in vermeintlicher Anwesenheit seines Onkels abgeschlossen worden sei, etwas zu ändern. Dass es den Behörden so- dann allenfalls nicht gelingt, die unbekannten Täter zur Verantwortung zu ziehen, stellt die grundsätzliche Schutzfähigkeit der indischen Behörden nicht in Frage.</w:t>
      </w:r>
    </w:p>
    <w:p>
      <w:r>
        <w:rPr>
          <w:b/>
        </w:rPr>
        <w:t>E. 5.2.4</w:t>
      </w:r>
    </w:p>
    <w:p>
      <w:r>
        <w:t>Schliesslich ist vor allem darauf hinzuweisen, dass sich der Be- schwerdeführer – unter Hinweis auf seine Schulbildung und Arbeitserfah- rung (vgl. 1107938-13/16 F15 ff.) – in einem anderen indischen Bundes- staat hätte niederlassen können, um der behaupteten Verfolgung durch ra- dikale Hindus zu entgehen respektive seine behauptete christliche Religion frei ausüben zu können. Daran vermag das Vorbringen nichts zu ändern, dass er und seine Familie auch in I._______ durch solche belästigt worden sein sollen.</w:t>
      </w:r>
    </w:p>
    <w:p>
      <w:r>
        <w:rPr>
          <w:b/>
        </w:rPr>
        <w:t>E. 5.3</w:t>
      </w:r>
    </w:p>
    <w:p>
      <w:r>
        <w:t>Bezüglich der in der Beschwerdeschrift geäusserte Befürchtung des Beschwerdeführers, in Indien wegen seiner Religionszugehörigkeit verhaf- tet zu werden (vgl. auch 1107938-13/16 F58), ist im Übrigen Folgendes festzuhalten: Aus seinen Aussagen in der Anhörung sowie den sonstigen Akten ergeben sich keine konkreten Anhaltspunkte dafür, dass die Polizei seine Verhaftung angestrebt hätte. Allein der Hinweis in der Beschwerde auf die in verschiedenen Bundesstaaten – offenbar nicht jedoch im Bun- desstaat D._______ – geltenden Anti-Konversionsgesetze, die unter Zwang, Locken und/oder Vorspielen falscher Tatsachen erfolgte Religions- wechsel unter Strafe stellen (vgl. 2. Bericht der Bundesregierung zur welt- weiten Lage der Religionsfreiheit, Berichtszeitraum 2018 bis 2019, S. 181), vermag jedenfalls nicht zur Annahmen einer bevorstehenden Inhaftierung zu führen. Weitere Ausführungen zu diesem Vorbringen erübrigen sich demzufolge.</w:t>
      </w:r>
    </w:p>
    <w:p>
      <w:r>
        <w:rPr>
          <w:b/>
        </w:rPr>
        <w:t>E. 5.4</w:t>
      </w:r>
    </w:p>
    <w:p>
      <w:r>
        <w:t>Nach dem Gesagten ist die Vorinstanz in der angefochtenen Verfügung zu Recht zum Schluss gekommen, dass der Beschwerdeführer nicht auf</w:t>
      </w:r>
    </w:p>
    <w:p>
      <w:r>
        <w:t>D-1479/2022 Seite 11 den Schutz der Schweiz angewiesen ist. Demzufolge hat sie auch zu Recht seine Flüchtlingseigenschaft verneint und sein Asylgesuch abgelehnt. Die weiteren Beschwerdevorbringen und insbesondere das verlinkte Youtube- Video ohne erkennbaren direkten Bezug zum Beschwerdeführer sind nicht geeignet, eine Änderung dieser Einschätzung zu bewirken, weshalb nicht weiter darauf einzugehen ist.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w:t>
      </w:r>
    </w:p>
    <w:p>
      <w:r>
        <w:t>D-1479/2022 Seite 12 Folter und andere grausame, unmenschliche oder erniedrigende Behand- lung oder Strafe (FoK, SR 0.105) und der Praxis zu Art. 3 EMRK darf nie- mand der Folter oder unmenschlicher oder erniedrigender Strafe oder Be- 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 di gegen Italien 28. Februar 2008, Grosse Kammer 37201/06, §§ 124–127 m.w.H.). Dies ist dem Beschwerdeführer unter Hinweis auf die vorstehen- den Erwägungen nicht gelungen. Allein der behauptete Ausschluss aus der (hinduistischen) Gesellschaft vermag sodann nicht zur Annahme eines menschenunwürdigen Lebens zu führen. Auch die allgemeine Menschen- rechtssituation in Indien lässt den Wegweisungsvollzug zum heutigen Zeit- punkt nicht als unzulässig erscheinen. 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D-1479/2022 Seite 13</w:t>
      </w:r>
    </w:p>
    <w:p>
      <w:r>
        <w:rPr>
          <w:b/>
        </w:rPr>
        <w:t>E. 7.3.2</w:t>
      </w:r>
    </w:p>
    <w:p>
      <w:r>
        <w:t>Die allgemeine Lage in Indien ist weder von Bürgerkrieg noch von allgemeiner Gewalt gekennzeichnet, so dass der Vollzug der Wegweisung dorthin grundsätzlich zumutbar ist. Zudem gilt Indien – wie erwähnt – als "Safe Country".</w:t>
      </w:r>
    </w:p>
    <w:p>
      <w:r>
        <w:rPr>
          <w:b/>
        </w:rPr>
        <w:t>E. 7.3.3</w:t>
      </w:r>
    </w:p>
    <w:p>
      <w:r>
        <w:t>Auch in individueller Hinsicht spricht nichts gegen die Zumutbarkeit des Wegweisungsvollzugs. Der Beschwerdeführer ist ein junger und ge- sunder Mann mit einer guten Schulbildung sowie mehrjähriger Berufser- fahrung (vgl. 1107938-13/16 F5, 15 ff.). Es ist daher davon auszugehen, dass er bei einer Rückkehr in sein Heimatland für seinen Lebensunterhalt wird aufkommen können. Die Beschwerdevorbringen unter dem Titel "Wegweisungshindernisse" sind – unter Hinweis auf das vorstehend Ausgeführte – nicht geeignet, um zu einer anderen Einschätzung zu gelangen. Insbesondere vermögen die Hinweise zu den Integrationsbemühungen in der Schweiz nicht zur Unzu- mutbarkeit des Wegweisungsvollzugs zu führen.</w:t>
      </w:r>
    </w:p>
    <w:p>
      <w:r>
        <w:rPr>
          <w:b/>
        </w:rPr>
        <w:t>E. 7.3.4</w:t>
      </w:r>
    </w:p>
    <w:p>
      <w:r>
        <w:t>Nach dem Gesagten erweist sich der Vollzug der Wegweisung auch als zumutbar.</w:t>
      </w:r>
    </w:p>
    <w:p>
      <w:r>
        <w:rPr>
          <w:b/>
        </w:rPr>
        <w:t>E. 7.4</w:t>
      </w:r>
    </w:p>
    <w:p>
      <w:r>
        <w:t>Schliesslich verfügt der Beschwerdeführer über einen gültigen Reise- pass, weshalb der Vollzug der Wegweisung auch als möglich zu bezeich- nen ist (Art. 83 Abs. 2 AuG).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9.1</w:t>
      </w:r>
    </w:p>
    <w:p>
      <w:r>
        <w:t>Mit dem vorliegenden Entscheid in der Hauptsache ist das Gesuch um Verzicht auf die Erhebung eines Kostenvorschusses gegenstandslos ge- worden.</w:t>
      </w:r>
    </w:p>
    <w:p>
      <w:r>
        <w:t>D-1479/2022 Seite 14</w:t>
      </w:r>
    </w:p>
    <w:p>
      <w:r>
        <w:rPr>
          <w:b/>
        </w:rPr>
        <w:t>E. 9.2</w:t>
      </w:r>
    </w:p>
    <w:p>
      <w:r>
        <w:t>Bei diesem Ausgang des Verfahrens wären die Kosten dem Beschwer- deführer aufzuerlegen (Art. 63 Abs. 1 VwVG; Art. 1–3 des Reglements vom 21. Februar 2008 über die Kosten und Entschädigungen vor dem Bundes- verwaltungsgericht [VGKE, SR 173.320.2]). Seine Rechtsbegehren kön- nen jedoch nicht von vornherein als aussichtslos betrachtet werden. Auch wenn sodann gemäss eingereichter Bestätigung die finanzielle Unterstüt- zung durch den zuständigen Kanton am (…) 2022 endete, ist hinsichtlich seiner Arbeitstätigkeit angesichts der kurzen Vorlaufzeit nach wie vor von seiner prozessualen Bedürftigkeit auszugehen. Das Gesuch um Gewäh- rung der unentgeltlichen Prozessführung gemäss Art. 65 Abs. 1 VwVG ist daher gutzuheissen und es sind somit keine Verfahrenskosten zu erheben.</w:t>
      </w:r>
    </w:p>
    <w:p>
      <w:r>
        <w:rPr>
          <w:b/>
        </w:rPr>
        <w:t>E. 9.3</w:t>
      </w:r>
    </w:p>
    <w:p>
      <w:r>
        <w:t>Der Beschwerdeführer hat die rechtsgenügliche Beschwerdeschrift of- fenbar selbst verfasst, wobei aus Form und Inhalt der Rechtsmitteleingabe ersichtlich ist, dass er über einen juristischen Beistand verfügt hat. Die Bei- ordnung eines amtlichen Rechtsbeistands (Art. 102m Abs. 1 AsylG), auf die der Beschwerdeführer eigentlich Anspruch hätte, würde folglich einen prozessualen Leerlauf darstellen. Das diesbezügliche Gesuch ist daher ab- zuweisen.</w:t>
      </w:r>
    </w:p>
    <w:p>
      <w:r>
        <w:t>(Dispositiv nächste Seite)</w:t>
      </w:r>
    </w:p>
    <w:p>
      <w:r>
        <w:t>D-1479/2022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