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D-1479/2013 vom 12. Dezember 2013</w:t>
      </w:r>
    </w:p>
    <w:p>
      <w:r>
        <w:t>Bundesverwaltungsgericht, 2013-12-12, DE</w:t>
      </w:r>
    </w:p>
    <w:p>
      <w:r>
        <w:rPr>
          <w:b/>
        </w:rPr>
        <w:t xml:space="preserve">Quelle: </w:t>
      </w:r>
      <w:r>
        <w:t>https://mcp.opencaselaw.ch/entscheid/bvger_D-1479_2013</w:t>
      </w:r>
    </w:p>
    <w:p>
      <w:r>
        <w:t>FR: TAF D-1479/2013 du 12 décembre 2013</w:t>
      </w:r>
    </w:p>
    <w:p>
      <w:r>
        <w:t>IT: TAF D-1479/2013 del 12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den vom Beschwerdeführer vorgetragenen Sachvortrag rund um das geltend gemachte Ereignis vom Dezember 2010 als den Anforderungen an die Glaubhaftigkeit gemäss Art. 7 AsylG nicht genügend. Unter Angabe der jeweiligen Fundstellen in den Protokollen, insbesondere demjenigen der direkten Bundesanhörung, zeigte das BFM schlüssig und nachvollziehbar auf, aufgrund welcher Überlegungen und Feststellungen es zu diesem Ergebnis gelangte. Das Bundesverwaltungsgericht hat nach Überprüfung der Akten keine Veranlassung, die von der Vorinstanz gezogenen Schlussfolgerungen zu beanstanden. Die von ihr angegebenen Fundstellen finden Stütze in den Akten (vgl. dazu auch E. 4.3 nachstehend). Eine asylrelevante Verfolgungs- oder Bedrohungssituation des Beschwer­deführers, welche ihm aus seiner 13-jährigen Mitgliedschaft bei der DPK-I resultiert haben soll oder vor einer solchen er begründete Furcht haben müsste, stellte das BFM in Abrede. Zum einen führte es zur Begründung an, dem Beschwerdeführer seien in dieser Zeitspanne nie irgendwelche Schwierigkeiten seitens der heimatlichen Behörden entstanden, und zum anderen erachtete es den von ihm erwähnten Vorfall im Dezember 2010 als unglaubhaft. Mithin könne er sich nicht darauf berufen, seine Heimat aus einem Grund nach Art. 3 AsylG verlassen zu haben. Hinsichtlich der exilpolitischen Tätigkeit des Beschwerdeführers hielt das BFM fest, dass sich aus den Ausführungen des Beschwerdeführers keinerlei Hinweise darauf ergeben würden, dieser hätte sich in einer Weise exilpolitisch exponiert, dass dessen Betätigungen von den iranischen Behörden hätten zur Kenntnis genommen werden können. Er habe lediglich an einigen Parteianlässen teilgenommen und als Mitglied des Komitees die Verantwortlichen unterstützt. Diesen zutreffenden vorinstanzlichen Erwägungen in der angefochtenen Verfügung, worauf verwiesen werden kann, sei lediglich im Sinne einer Ergänzung die aufschlussreiche Antwort des Beschwerdeführers hinzugefügt, wonach dieser die Teilnahme an einer Demonstration zugunsten der Partei in der Schweiz gar ausdrücklich verneinte (A 25 S. 14). Aufgrund der Akten ergeben sich weiter auch keine Anhaltspunkte dafür, dass er im Rahmen seines behaupteten exilpolitischen Engagements in den Fokus der iranischen Behörden hätte geraten sein können (vgl. dazu auch BVGE 2009/28 E. 7.4.3 S. 364 ff.). Mit der Rechtsmitteleingabe lässt der Beschwerdeführer im Zusammenhang mit den behaupteten subjektiven Nachfluchtgründen sodann zwei Mitgliedschaftsbestätigungen der DPK-I Schweiz und Europa einreichen. Ihnen ist aufgrund des völlig unsubstanziierten Inhalts jedoch die beweisrechtliche Bedeutung hinsichtlich einer allfälligen flüchtlingsrechtlich relevanten Gefährdungssituation des Beschwerdeführers abzusprechen. Letztlich kann ihnen bloss Gefälligkeitscharakter beigemessen werden. Ferner ist festzustellen, dass auf Beschwerdestufe in diesem Zusammenhang keine weiteren Worte verloren werden. Bei dieser Sachlage - vorliegend bestehen keine Nachfluchtgründe, die zur Zuerkennung der Flüchtlingseigenschaft führen könnten - erübrigen sich weitere Erörterungen. Der Eventualantrag (Rechtsbegehren Ziff. 3 der Beschwerde) ist abzuweisen.</w:t>
      </w:r>
    </w:p>
    <w:p>
      <w:r>
        <w:rPr>
          <w:b/>
        </w:rPr>
        <w:t>E. 4.2</w:t>
      </w:r>
    </w:p>
    <w:p>
      <w:r>
        <w:t>In der Rechtsmitteleingabe bleibt der vom Beschwerdeführer geschilderte Sachvortrag zum angeblich ausreiseauslösenden Ereignis von Dezember 2010 grundsätzlich unverändert. Nach einer argumentativen Auseinandersetzung mit den einzelnen, dem Beschwerdeführer von der Vorinstanz vorgeworfenen Unglaubhaftigkeitselementen wird aufgrund einer Gesamtschau der Befragungsprotokolle und der vom BFM gezogenen Schlussfolgerungen der Einwand erhoben, dass das BFM seinen Entscheid letztlich nur auf Vermutungen und eine angebliche Logik des Handelns stütze. Unter anderem scheine für das BFM völlig ausgeschlossen zu sein, dass es Zufälle gebe und Menschen wie der Beschwerdeführer nicht immer voraussehbar handeln würden. Schliesslich wird ausgeführt, dass sein Verhalten riskant gewesen sein möge. Indes sei es nicht Aufgabe des BFM, darüber zu urteilen, ob ihm dieses riskante Handeln vorzuwerfen sei, sondern nur, ob dieses Handeln glaubhaft sei. Vorbringen könnten auch dann glaubhaft sein, wenn eine überwiegende Wahrscheinlichkeit dafür spreche, dass sich der Sachverhalt so zugetragen habe. Diese Wahrscheinlichkeit dürfe durchaus mit Fragen und Zweifeln behaftet sein.</w:t>
      </w:r>
    </w:p>
    <w:p>
      <w:r>
        <w:rPr>
          <w:b/>
        </w:rPr>
        <w:t>E. 4.3</w:t>
      </w:r>
    </w:p>
    <w:p>
      <w:r>
        <w:t>Nebst dem bereits unter E. 3.2 Erwähnten bedeutet Glaubhaftmachung ferner - im Gegensatz zum strikten Beweis - ein reduziertes Beweismass und lässt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4.3.1</w:t>
      </w:r>
    </w:p>
    <w:p>
      <w:r>
        <w:t>Vorab gilt vor Augen zu halten, dass der Beschwerdeführer als Mitglied einer illegalen und nachhaltig verfolgten Partei (DPK-I) im Iran während 13 Jahren jährlich zu wichtigen Anlässen der Partei politische Aktivitäten durchgeführt habe; je insgesamt sieben Mal pro Jahr. Er führte auch anschaulich die entsprechenden Vorgaben der Partei hinsichtlich der strikte einzuhaltenden Sicherheitsvorkehrungen bei der Vorgehensweise und Durchführung von solchen politischen Aktionen bei der direkten Bundesanhörung an. Ebenfalls gab er zu Protokoll, dass solch wichtige Gedenktage wie der 17. Dezember 2010 (26. Azer) bei der Regierung bekannt seien und die Stadt voller Militärpersonen sei, die jeden Treffpunkt beobachten und kontrollieren würden, wer am Abend hinausgehe. Er und sein Freund H. seien an diesem Abend derart in Stress und Angst gewesen, dass er nicht sagen könne, zu welchem Zeitpunkt sie im Viertel des A. angekommen seien (A 25 S. 7).</w:t>
      </w:r>
    </w:p>
    <w:p>
      <w:r>
        <w:rPr>
          <w:b/>
        </w:rPr>
        <w:t>E. 4.3.2</w:t>
      </w:r>
    </w:p>
    <w:p>
      <w:r>
        <w:t>Vor diesem Hintergrund erweisen sich die Ausführungen in der Rechtsmitteleingabe als wenig plausibel respektive aussagekräftig, wonach der Beschwerdeführer das Risiko des Entdecktwerdens unterschätzt habe, da er nachts tätig gewesen sei und das Gefühl gehabt habe, dass nichts passieren werde. Auch wenn sie aus Sicherheitsgründen jeweils etwa vier Tage vor einem Gedenktag die Flugblätter verteilt hätten (A 25 S. 7 und 14), ist nicht auszuschliessen, dass bereits vor solchen Anlässen mit einer erhöhten Präsenz der Sicherheitskräfte zu rechnen ist. Schwer nachvollziehbar ist sodann die Begründung in diesem Zusammenhang, dass er - eingedenk des von ihm abschätzbaren Risikos - aufgrund der jahrelangen Provokationen von A. diesem spontan die Wirkungsmacht der DPK-I vor Augen habe führen wollen. So gab der Beschwerdeführer zu Protokoll, aus Sicherheitsgründen straff in einer Zelle zu drei Personen organisiert gewesen zu sein und mit diesen jährlich diverse politische Aktionen zugunsten der Partei durchgeführt zu haben. Von daher erscheint es fraglich, dass dem A., einem Mitglied der Ettelaat, solche Vorkommnisse über Jahre hinweg verborgen geblieben sein sollen. Hinzu kommt, dass der Beschwerdeführer nach der Verhaftung eines Parteimitglieds durch die Ettelaat im Jahre 2007 in den Verdacht von Aktivitäten zugunsten der Partei geraten und deswegen dreimal während drei bis vier Stunden respektive einmal befragt worden sein soll (A 6 S. 6; A 25 S. 12). Wenig überzeugend und als Erklärungsversuch muss auch die Begründung im Zusammenhang mit dem Aufbewahrungsort der Flyer am Vorabend des Geschehens gewertet werden. Hinsichtlich der dem Beschwerdeführer von der Vorinstanz vorgehaltenen Divergenz bei der Bundesanhörung wird zum einen auf den Wortlaut der entsprechenden Antwort des Beschwerdeführers hingewiesen, wonach diese nicht ausschliesse, dass er das Material ausnahmsweise an diesem Tag bei sich zu Hause aufbewahrt habe. Zum anderen wird erneut das Argument des von ihm abschätzbaren Risikos aufgrund seiner jahrelangen, unbehelligten Tätigkeit zugunsten der Partei herangezogen. Die von der Vorinstanz in der angefochtenen Verfügung hierzu weiter gemachten Ausführungen, welche die Unglaubhaftigkeit des vorgebrachten Sachverhaltselements zu verstärken vermögen, bleiben unberücksichtigt respektive ihnen wird nicht widersprochen. Was den vom Beschwerdeführer geschilderten Geschehnisablauf vom 17. Dezember 2010 beziehungsweise der Vortage anbelangt, so erachtete die Vorinstanz diesen als unlogisch und widersprüchlich. In der Tat kann nicht von vorneherein ausgeschlossen werden, dass A. von der nächtlichen Aktion des Beschwerdeführers und seines Freundes H. nichts hätte mitbekommen können. Ungeachtet dessen, ob sich das entsprechende Ereignis allenfalls in der vom Beschwerdeführer geschilderten Art und Weise zugetragen haben könnte, ist festzustellen, dass für das Bundesverwaltungsgericht in Anbetracht des oben Erwähnten, den als nachträgliche Sachverhaltsanpassung zu qualifizierenden Schilderungen des Beschwerdeführers bezüglich des Wohnviertels von A. sowie der diesbezüglich polemischen Kritik (Befragerin des Beschwerdeführers und Verfasserin der angefochtenen Verfügung seien dieselbe Person; der Wortlaut in diesem Punkt zeige, dass sie den Beschwerdeführer nicht ernst genommen habe), insgesamt gewichtige Zweifel am geltend gemachten Geschehnisablauf bestehen. Gleichermassen verhält es sich mit den Einwänden in der Rechtsmitteleingabe im Zusammenhang mit der geltend gemachten Verfolgung des Beschwerdeführers sowie zu dessen Verhaltensweise während des mehrtägigen Aufenthalts bei X. bis zur Ausreise. Die von ihm geltend gemachte Hausdurchsuchung nach der angeblich fehlgeschlagenen politischen Aktion in derselben Nacht durch die Ettelaat bezeichnete die Vorinstanz nicht als unmöglich, sondern erachtete diese Massnahme in Anbetracht der von ihm geschilderten Umstände als konstruiert. Im Sinne einer auf gesundem Menschenverstand basierenden Begründung führte sie, insbesondere in Verbindung mit der vom Beschwerdeführer bei der Befragung zu diesem Vorfall gemachten Aussage, aus, weshalb die Wahrscheinlichkeit der Anordnung einer unverzüglichen Hausdurchsuchung durch die Ettelaat nicht gegeben gewesen sei. Dieser als blosser Vermutung bezeichneten Argumentation vermag der Beschwerdeführer jedoch nichts Substanzielles entgegenzusetzen. Er lässt es vielmehr mit der Behauptung bewenden, dass der Wortlaut anlässlich der Befragung eine Verfolgung in derselben Nacht nicht ausschliesse. Nicht zuletzt ist der Umstand zu erwähnen, dass der in Kontakt mit der Familie im Heimatland stehende Beschwerdeführer (vgl. A 25 S. 2) weder zu seiner behaupteten Gefährdungssituation noch zur Situation seiner Familienangehörigen im Iran im Verlaufe des Verfahrens irgendwelche sachdienlichen Hinweise und Anhaltspunkte oder seinen Sachvortrag untermauernde Dokumente und Beweismittel einbrachte. Insgesamt ist nach dem Gesagten nicht davon auszugehen, dass sich der Beschwerdeführer aufgrund jahrelanger Einhaltung strikter Sicherheitsvorkehrungen plötzlich unter Ausserachtlassung elementarster zu berücksichtigender Aspekte zu einer spontanen Reaktion veranlasst gesehen haben soll, derentwegen sein unbehelligtes Dasein als verantwortliches Familienoberhaupt und dasjenige seiner Angehörigen (Ehefrau, zwei Kinder und Mutter des Beschwerdeführers leben in einem gemeinsamen Haushalt) einer nicht abschliessend abschätzbaren Gefährdungssituation ausgesetzt worden wäre. Unter dem Blickwinkel von E. 4.3 gesehen genügt die Argumentation in der Rechtsmitteleingabe demnach den Anforderungen an die Glaubhaftmachung nicht. Der Inhalt der diesbezüglichen Vorbringen erweist sich in einer Gesamtwürdigung als mutmassend und hypothetisch. Im Zusammenhang mit einer allfällig aus seiner 13-jährigen Mitgliedschaft bei der DPK-I resultierenden (asyl-)relevanten Gefährdungssituation kann, zur Vermeidung von Wiederholungen, auf die zutreffenden Erwägungen in der angefochtenen Verfügung verwiesen werden.</w:t>
      </w:r>
    </w:p>
    <w:p>
      <w:r>
        <w:rPr>
          <w:b/>
        </w:rPr>
        <w:t>E. 4.4</w:t>
      </w:r>
    </w:p>
    <w:p>
      <w:r>
        <w:t>Zusammenfassend ist festzustellen, dass der Beschwerdeführer nicht darzutun vermochte, dass er einer Verfolgung im Sinne von Art. 3 AsylG ausgesetzt war oder begründete Furcht hat, einer solchen aus­gesetzt werden zu können. Ebenfalls bestehen keine Nachfluchtgründe, die zur Zuerkennung der Flüchtlingseigenschaft führen könnten (E. 4.1). Die Vorinstanz hat das Asylgesuch des Beschwerdefüh­rers demnach zu Recht abgelehnt. Angesichts dieser Sachlage ist auf die übrigen Vorbringen in der Beschwerde nicht einzugehen.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Im Iran herrscht zurzeit kein Krieg, kein Bürgerkrieg und keine Situation allgemeiner Gewalt, weshalb unter diesem Aspekt von der generellen Zumutbarkeit des Wegweisungsvollzugs in dieses Land auszugehen ist. Wie vorstehend ausgeführt, dürfte sich der Beschwerdeführer bei einer Rückkehr in den Iran keiner konkreten Gefährdung ausgesetzt sehen. Aufgrund der Aktenlage ist nicht davon auszugehen, dass ihm Behelligungen drohen, die zwar nicht die von Art. 3 EMRK geforderte Intensität erreichen, eine Rückkehr aber trotzdem als unzumutbar erscheinen lassen. Er verfügt in seiner Heimat über ein familiäres und darüber hinausgehendes Beziehungsnetz sowie reichlich Berufserfahrung, so dass ihm eine Reintegration nicht allzu schwer fallen sollte.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6.7</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Das Gesuch um Gewährung der unentgeltlichen Rechtspflege im Sinne von Art. 65 Abs. 1 VwVG ist gutzuheissen. Der Beschwerdeführer ist gemäss den vorliegenden Akten aktuell nach wie vor nicht erwerbstätig, weshalb von dessen prozessualer Bedürftigkeit ausgegangen werden kann. Ebenfalls konnten die Begehren im Zeitpunkt der Einreichung der Beschwerde als nicht aussichtslos bezeichnet werden. Die kumulativ zu erfüllenden Voraussetzungen von Art. 65 Abs. 1 VwVG sind damit gegeben. Auf die Auferlegung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