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D-1478/2023 vom 19. April 2023</w:t>
      </w:r>
    </w:p>
    <w:p>
      <w:r>
        <w:t>Bundesverwaltungsgericht, 2023-04-19, DE</w:t>
      </w:r>
    </w:p>
    <w:p>
      <w:r>
        <w:rPr>
          <w:b/>
        </w:rPr>
        <w:t xml:space="preserve">Quelle: </w:t>
      </w:r>
      <w:r>
        <w:t>https://mcp.opencaselaw.ch/entscheid/bvger_D-1478_2023</w:t>
      </w:r>
    </w:p>
    <w:p>
      <w:r>
        <w:t>FR: TAF D-1478/2023 du 19 avril 2023</w:t>
      </w:r>
    </w:p>
    <w:p>
      <w:r>
        <w:t>IT: TAF D-1478/2023 del 19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Praxisgemäss wird das vorliegende Beschwerdeverfahren betreffend Nichteintreten auf das Asylgesuch und Überstellung in den zuständigen Dublin-Mitgliedstaat (D-1478/2023) vom unter der Verfahrensnummer D-1529/2023 eröffneten ZEMIS-Datenbereinigungsverfahren getrennt und separat geführt (vgl. BVGE 2018 VI/3; vgl. Sachverhalt Buchstabe L). Es werden separate Urteile erlassen. Vorliegend bilden die Ziffern 1 bis 4 sowie 6 und 7 der angefochtenen Verfügung den Gegenstand des Verfahrens.</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1.3</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zum Urteilszeitpunkt um eine solche, weshalb das Urteil nur summarisch zu begründen ist (Art. 111a Abs. 2 AsylG). Gestützt auf Art. 111a Abs. 1 AsylG wurde auf einen Schriftenwechsel verzichtet.</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4.3</w:t>
      </w:r>
    </w:p>
    <w:p>
      <w:r>
        <w:t>Ein Abgleich mit der europäischen Fingerabdruck-Datenbank Eurodac ergab, dass der Beschwerdeführer am 23. September 2022 illegal in Kroatien eingereist und daktyloskopisch erfasst worden war. Das SEM ersuchte deshalb gestützt auf Art. 13 Abs. 1 Dublin-III-VO die kroatischen Behörden am 5. Dezember 2022 beziehungsweise 3. Februar 2023 um Aufnahme des Beschwerdeführers, welcher diese am 13. Februar 2023 zustimmten. Damit steht die grundsätzliche staatsvertragliche Zuständigkeit Kroatiens fest.</w:t>
      </w:r>
    </w:p>
    <w:p>
      <w:r>
        <w:rPr>
          <w:b/>
        </w:rPr>
        <w:t>E. 4.4</w:t>
      </w:r>
    </w:p>
    <w:p>
      <w:r>
        <w:t>Die grundsätzliche Zuständigkeit des kroatischen Staates wird nicht explizit bestritten. Alsdann wird - wie nachstehend in Erwägung 6.2.3 f. ausgeführt - die behauptete Minderjährigkeit des Beschwerdeführers vom SEM zu Recht nicht als glaubhaft erachtet und es ist von seiner Volljährigkeit auszugehen. Damit lässt sich vorliegend auch keine Zuständigkeit der Schweiz aus Art. 8 Dublin-III-VO (Minderjährigkeit) ableiten. Die Plausibilität des geltend gemachten Geburtsdatums des Beschwerdeführers wird in Bezug auf den ZEMIS-Eintrag - wie bereits erwähnt - in einem separaten Verfahren geprüft (ZEMIS-Datenbereinigungsverfahren D-1529/2023; vgl. Sachverhalt Buchstabe L).</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Liegen individuelle völkerrechtliche Überstellungshindernisse vor, ist der Selbsteintritt zwingend (BVGE 2015/9 E. 8.2.1). Das sogenannte Selbsteintrittsrecht wird im Landesrecht durch Art. 29a Abs. 3 der Asylverordnung 1 vom 11. August 1999 (AsylV 1, SR 142.311) konkretisiert. Demgemäss kann das SEM das Asylgesuch gemäss dieser Bestimmung nach seinem Ermessen "aus humanitären Gründen" auch dann behandeln, wenn dafür gemäss Dublin-III-VO ein anderer Staat zuständig wäre.</w:t>
      </w:r>
    </w:p>
    <w:p>
      <w:r>
        <w:rPr>
          <w:b/>
        </w:rPr>
        <w:t>E. 6.1</w:t>
      </w:r>
    </w:p>
    <w:p>
      <w:r>
        <w:t>Im Lichte von Art. 3 Abs. 2 Dublin-III-VO ist zu prüfen, ob es, wie vom Beschwerdeführer geltend gemacht,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Ist dies zu verneinen, ist in einem weiteren Schritt zu prüfen, ob das Selbsteintrittsrecht nach Art. 17 Abs. 1 erster Satz Dublin-III-VO auszuüben ist.</w:t>
      </w:r>
    </w:p>
    <w:p>
      <w:r>
        <w:rPr>
          <w:b/>
        </w:rPr>
        <w:t>E. 6.2</w:t>
      </w:r>
    </w:p>
    <w:p>
      <w:r>
        <w:t>Der Beschwerdeführer macht auf Beschwerdeebene geltend, minderjährig zu sein. Er verlangt zunächst (implizit) aufgrund seiner behaupteten Minderjährigkeit den Selbsteintritt der Schweiz (Art. 17 Abs. 1 Dublin-III-VO; Art. 29a Abs. 3 AsylV 1).</w:t>
      </w:r>
    </w:p>
    <w:p>
      <w:r>
        <w:rPr>
          <w:b/>
        </w:rPr>
        <w:t>E. 6.2.1</w:t>
      </w:r>
    </w:p>
    <w:p>
      <w:r>
        <w:t>Hinsichtlich seiner behaupteten Minderjährigkeit bringt der Beschwerdeführer vor, die Vorinstanz habe sein Geburtsdatum unrichtigerweise auf den 1. Januar 2004 anstelle des von ihm genannten Geburtsdatums vom 1. Mai 2005 festgelegt. Seine Antworten anlässlich der EB UMA seien glaubhaft und würden verdeutlichen, dass er selber nicht genau wisse, wie alt er sei. Gemäss dem Altersgutachten als einzigem stichhaltigem Anhaltspunkt für die strittige Minderjährigkeit könne eine solche aufgrund des darin festgelegten Mindestalters von 17 Jahren nicht ausgeschlossen werden.</w:t>
      </w:r>
    </w:p>
    <w:p>
      <w:r>
        <w:rPr>
          <w:b/>
        </w:rPr>
        <w:t>E. 6.2.2</w:t>
      </w:r>
    </w:p>
    <w:p>
      <w:r>
        <w:t>Die Vorinstanz hält betreffend Minderjährigkeit in ausführlichen, nachvollziehbaren Erwägungen fest, dass das Altersgutachten nach wissenschaftlichen Standards erstellt wurde. Demgemäss weise der Beschwerdeführer anhand der Einzeluntersuchungen ein durchschnittliches Lebensalter von 18 bis 22 Jahren auf und beim festgestellten Mindestalter von 17 Jahren handle es sich lediglich um das tiefst mögliche, nicht um das tatsächliche oder wahrscheinlichste Alter.</w:t>
      </w:r>
    </w:p>
    <w:p>
      <w:r>
        <w:rPr>
          <w:b/>
        </w:rPr>
        <w:t>E. 6.2.3</w:t>
      </w:r>
    </w:p>
    <w:p>
      <w:r>
        <w:t>Den Akten ist zu entnehmen, dass für das vorliegende Altersgutachten eine körperliche Untersuchung, eine Handknochenanalyse sowie eine Untersuchung des Gebisses vorgenommen wurde. Da die Schlüsselbeinknochen des Beschwerdeführers eine Normabweichung aufweisen, konnte die entsprechende Computertomographie kein zuverlässiges Ergebnis liefern.. Das Altersgutachten ist als Indiz für die Volljährigkeit des Beschwerdeführers zu werten (vgl. BVGer Urteil D-1044/2022 vom 10. März 2022 m.w.H; BVGE 2018 VI/3 E. 4.2.2). Die Vorinstanz stützt sich jedoch nicht allein auf das Ergebnis des Altersgutachtens ab, sondern auch auf ihre nicht zu beanstandende Beurteilung der Glaubhaftigkeit der Angaben zur geltend gemachten Minderjährigkeit. Entgegen der Behauptung in der Beschwerde hat sie auch die persönlichen Verhältnisse des Beschwerdeführers (Schulbildung, Leben im Iran) angemessen berücksichtigt. Es ist ebenso mit ihr festzuhalten, dass der Beschwerdeführer während der EB UMA vom 8. November 2022 vage und widersprüchliche sowie nicht plausible Angaben zu seinem Alter machte und diese auch in der Beschwerde weder präzisierte noch die Widersprüche auflöste, beziehungsweise setzte er sich nicht angemessen mit der Begründung der vorinstanzlichen Verfügung auseinander. Der Beschwerdeführer erklärt in der Beschwerde, sein Alter nicht zu kennen (Beschwerde, S. 4). Mit einer solchen Erklärung für die bisherigen pauschalen Angaben (Unkenntnis) werden aber weder seine Vorbringen substantiiert noch ändert sie etwas an der fehlenden Glaubhaftmachung der Minderjährigkeit. Die Ungereimtheiten in den Vorbringen des Beschwerdeführers hat die Vorinstanz in ihren Erwägungen detailliert und nachvollziehbar beziehungsweise zutreffend aufgezeigt, weshalb - um Wiederholungen zu vermeiden - darauf verwiesen werden kann (vi-Entscheid, Ziff. II, S. 4 ff.). Die Glaubhaftigkeit seiner Angaben und mithin der Minderjährigkeit ist insbesondere auch deshalb zu verneinen, weil der Beschwerdeführer bisher bei verschiedenen Behörden drei unterschiedliche Geburtstage beziehungsweise -jahre angab (1. Mai 2007, 5. Januar 2006, 2. Mai 2002) und die vorinstanzlichen Erwägungen zu seinen diesbezüglichen Erklärungsversuchen zutreffend sind (vi-Entscheid, Ziff. II, S. 6 ff.). So fehlt beispielsweise eine plausible Begründung für die Angabe des Geburtsjahres 2006 bei der schweizerischen Zollbehörde im Vergleich zur Angabe im Asylverfahren (2007) und es ist auch unwahrscheinlich, dass die kroatischen Behörden entgegen der Behauptung des Beschwerdeführers ohne Nennung eines konkreten Geburtsdatums seinerseits (nur Angabe: 20 Jahre) das Datum «2. Mai» 2002 registriert hätten. Überdies hat die Vorinstanz nicht nur aus den Angaben eines vorläufig in der Schweiz aufgenommenen (angeblichen) Bruders zum Alter des Beschwerdeführers zu Recht auf die Unglaubhaftigkeit der Minderjährigkeit geschlossen (Dossier von S.Z.M., N [...], aus dem die Volljährigkeit des Beschwerdeführers im Zeitpunkt der Antragstellung des Bruders S.Z.M hervorgeht), sondern diese ergibt sich auch aus einer Gesamtwürdigung. Es wäre dem Beschwerdeführer alsdann freigestanden, allfällige weitere Unterlagen zur Klärung seiner Identität nachzureichen. Bis zum heutigen Datum gingen keine weiteren Dokumente ein. In diesem Zusammenhang ist er auf seine Beweislast hinzuweisen und muss die Folgen der Beweislosigkeit tragen (vgl. BVGE 2019 I/6 E. 5.4 m.w.H.).</w:t>
      </w:r>
    </w:p>
    <w:p>
      <w:r>
        <w:rPr>
          <w:b/>
        </w:rPr>
        <w:t>E. 6.2.4</w:t>
      </w:r>
    </w:p>
    <w:p>
      <w:r>
        <w:t>Die Vorinstanz hat nach dem Gesagten zu Recht auf die Volljährigkeit des Beschwerdeführers geschlossen, womit sich auch Erwägungen zur in der Beschwerde geltend gemachten möglichen Verletzung des Kindeswohls erübrigen (Beschwerde, S. 7).</w:t>
      </w:r>
    </w:p>
    <w:p>
      <w:r>
        <w:rPr>
          <w:b/>
        </w:rPr>
        <w:t>E. 6.3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Entgegen der in der Beschwerde vertretenen Ansicht liegen gemäss Praxis des Bundesverwaltungsgerichts im heutigen Zeitpunkt keine Gründe für die Annahme vor, das Asylverfahren und die Aufnahmebedingungen für Antragstellende in Kroatien würden systemische Schwachstellen im Sinne von Art. 3 Abs. 2 Sätze 2 und 3 Dublin-III-VO aufweisen, unabhängig davon, ob die gesuchstellende Person im Rahmen eines «take-charge» oder «take-back» Verfahrens überstellt wird (vgl. die Referenzurteile E-3078/2019 vom 12. Juli 2019 und D-1611/2016 vom 22. März 2016 sowie das zur Publikation als Referenzurteil vorgesehene Urteil E-1488/2020 vom 22. März 2023, welches die bestehende Praxis der grundsätzlichen Zulässigkeit von Dublin-Überstellungen nach Kroatien bestätigt; BVGer Urteile D-1541/2023 sowie D-1551/2023 vom 28. März 2023). Die Beschwerdeausführungen zur allgemeinen Situation in Kroatien beziehungsweise zu problematischen Push-Backs vermögen anhand von Einzelberichten zu illegalen Abschiebungen und Hinweisen auf öffentlich zugängliche Berichte der Wochenzeitung beziehungsweise auf Internetseiten und auf die diesbezügliche Rechtsprechung ausländischer Gerichte - welche für die Schweiz ohnehin nicht bindend sind - nichts an der diesbezüglich aktuellen Rechtsprechung des Bundesverwaltungsgerichts zu ändern (Beschwerde, S. 5 ff.). Die Vorinstanz hat in Beachtung der genannten Rechtsprechung eine Einzelfallprüfung vorgenommen und ist unter Verweis auf Abklärungen durch die Schweizerische Botschaft in Kroatien zum Schluss gekommen, dass Personen, welche im Rahmen von Dublin-Rückkehrenden nach Kroatien zurückgeführt werden, - entgegen der Behauptung auf Beschwerdeebene - nicht von der problematischen Push-back-Praxis betroffen sind (vgl. das zur Publikation als Referenzurteil vorgesehene Urteil des Bundesverwaltungsgerichts E-1488/2020 vom 22. März 2023, E. 9.4.4;). Trotz geschilderter, angeblicher Hindernisse ist der Beschwerdeführer am 23. September 2022 in Kroatien eingereist und die kroatischen Behörden haben seiner Übernahme am 13. Februar 2023 explizit zugestimmt. Auf Beschwerdeebene wird - im Gegensatz zum vorinstanzlichen Verfahren (A17/10, F 2.06; A33/6) - auch nicht mehr vorgebracht, ihm sei der Zugang zum Asylverfahren verweigert worden, sondern der Beschwerdeführer räumt explizit ein, in Kroatien kein Asylgesuch gestellt zu haben (Beschwerde, S. 5). Es ist aufgrund des Gesagten nicht davon auszugehen, es werde ihm der Zugang zum kroatischen Asylverfahren verwehrt. Im Weiteren vermögen seine Einwände - insbesondere die Kroatien-Rechtsprechung von «take back»-Fällen sei nicht auf die vorliegende «take charge»-Situation zu übertragen - keine systemischen Schwachstellen Kroatiens herzuleiten; dieser Argumentation wird durch das erwähnte, zur Publikation vorgesehene Urteil des Bundesverwaltungsgerichts haltlos (vgl. Urteil E-1488/2020 E. 9.4.4 und E. 9.5). Unter diesen Umständen ist die Anwendung von Art. 3 Abs. 2 Dublin-III-VO nicht gerechtfertigt.</w:t>
      </w:r>
    </w:p>
    <w:p>
      <w:r>
        <w:rPr>
          <w:b/>
        </w:rPr>
        <w:t>E. 6.4</w:t>
      </w:r>
    </w:p>
    <w:p>
      <w:r>
        <w:t>Die formellen Rügen einer unzureichenden Abklärung der Situation in Kroatien (take charge-Fälle) erweisen sich nach dem Gesagten als unbegründet (a.a.O. Urteile E-1488/2020 vom 22. März 2023). Wie aus vorstehenden Erwägungen ersichtlich ist, hat sich das SEM in der angefochtenen Verfügung mit hinreichender Begründung mit den entscheidwesentlichen Sachverhaltselementen und den im vorinstanzlichen Verfahren vorgebrachten Argumenten des Beschwerdeführers auseinandergesetzt. Das Eventualbegehren um Rückweisung der Sache zur Feststellung des Sachverhaltes und zur Neubeurteilung an die Vorinstanz ist abzuweisen.</w:t>
      </w:r>
    </w:p>
    <w:p>
      <w:r>
        <w:rPr>
          <w:b/>
        </w:rPr>
        <w:t>E. 6.5</w:t>
      </w:r>
    </w:p>
    <w:p>
      <w:r>
        <w:t>Der Beschwerdeführer konnte im Verlauf seines Verfahrens in der Schweiz weder die von ihm erwähnte Wegweisungsverfügung der kroatischen Behörden vorlegen noch ein konkretes und ernsthaftes Risiko dartun, dass sich die kroatischen Behörden weigern würden, ihn aufzunehmen und 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im Weiteren keine konkreten Gründe für die Annahme zu entnehmen, Kroatien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Es besteht auch kein Grund zur Annahme, die Überstellung des Beschwerdeführers nach Kroatien würde zu einer Verletzung von Art. 3 EMRK führen oder das Land würde ihm dauerhaft die ihm gemäss Aufnahmerichtlinie zustehenden minimalen Lebensbedingungen vorenthalten (vgl. Art. 26 der Richtlinie des Europäischen Parlaments und des Rates 2013/33/EU vom 26. Juni 2013 zur Festlegung von Normen für die Aufnahme von Personen, die internationalen Schutz beantragen, sog. Aufnahmerichtlinie). Im Übrigen ist der Beschwerdeführer gehalten, sich bei Bedarf an die kroatischen Behörden zu wenden und die ihm zustehenden Aufnahmebedingungen gegebenenfalls auf dem Rechtsweg einzufordern, zumal es sich bei Kroatien um einen funktionierenden Rechtsstaat handelt.</w:t>
      </w:r>
    </w:p>
    <w:p>
      <w:r>
        <w:rPr>
          <w:b/>
        </w:rPr>
        <w:t>E. 6.6</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Eine solche Situation ist vorliegend offenkundig nicht gegeben. Sollte der Beschwerdeführer allenfalls weiterhin an Übelkeit und Erbrechen leiden, verfügt Kroatien grundsätzlich über eine ausreichende medizinische Infrastruktur (auch für allfällige psychische Leiden) und es gibt keinen Grund zur Annahme, dem Beschwerdeführer würde dort eine allfällig notwendige medizinische Behandlung verweigert (zur medizinischen Versorgung in Kroatien vgl. Urteil des BVGer D-735/2022 vom 28. Februar 2022 E. 6.7.3). Den vorinstanzlichen Akten sind keine gravierenden Gesundheitsbeschwerden des Beschwerdeführers zu entnehmen und es wurden auch in der Beschwerde keine solchen geltend gemacht.</w:t>
      </w:r>
    </w:p>
    <w:p>
      <w:r>
        <w:rPr>
          <w:b/>
        </w:rPr>
        <w:t>E. 6.7</w:t>
      </w:r>
    </w:p>
    <w:p>
      <w:r>
        <w:t>Zusammenfassend ist festzuhalten, dass keine völkerrechtlichen Überstellungshindernisse bestehen und daher kein Grund vorliegt, der die Schweiz zum Selbsteintritt verpflichten würde. Im Weiteren ist im Zusammenhang mit der Anwendung der Souveränitätsklausel aus humanitären Gründen nach Art. 29a Abs. 3 AsylV 1 festzuhalten, dass keine rechtlichen Fehler bei der Ermessensbetätigung durch die Vorinstanz ersichtlich sind.</w:t>
      </w:r>
    </w:p>
    <w:p>
      <w:r>
        <w:rPr>
          <w:b/>
        </w:rPr>
        <w:t>E. 7</w:t>
      </w:r>
    </w:p>
    <w:p>
      <w:r>
        <w:t>Nach dem Gesagten besteht auch kein Anlass zur Einholung individueller Zusicherungen betreffend Zugang zum Asylverfahren, adäquater medizinischer Versorgung und Unterbringung. Der Subeventualantrag auf Einholung individueller Garantien ist daher abzuweisen.</w:t>
      </w:r>
    </w:p>
    <w:p>
      <w:r>
        <w:rPr>
          <w:b/>
        </w:rPr>
        <w:t>E. 8</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Kroatien angeordnet (Art. 32 Bst. a AsylV 1).</w:t>
      </w:r>
    </w:p>
    <w:p>
      <w:r>
        <w:rPr>
          <w:b/>
        </w:rPr>
        <w:t>E. 9</w:t>
      </w:r>
    </w:p>
    <w:p>
      <w:r>
        <w:t>Die angefochtene Verfügung verletzt demnach Bundesrecht nicht und ist auch sonst nicht zu beanstanden. Die Beschwerde ist abzuweisen und die Verfügung der Vorinstanz zu bestätigen.</w:t>
      </w:r>
    </w:p>
    <w:p>
      <w:r>
        <w:rPr>
          <w:b/>
        </w:rPr>
        <w:t>E. 10.1</w:t>
      </w:r>
    </w:p>
    <w:p>
      <w:r>
        <w:t>Das Beschwerdeverfahren ist betreffend Nichteintreten auf das Asylgesuch und Überstellung in den zuständigen Dublin-Mitgliedstaat (D-1478/2023) mit vorliegendem Urteil abgeschlossen, weshalb sich der Antrag auf Gewährung der aufschiebenden Wirkung als gegenstandslos erweist.</w:t>
      </w:r>
    </w:p>
    <w:p>
      <w:r>
        <w:rPr>
          <w:b/>
        </w:rPr>
        <w:t>E. 10.2</w:t>
      </w:r>
    </w:p>
    <w:p>
      <w:r>
        <w:t>Der am 21. März 2023 angeordnete Vollzugsstopp der Überstellung fällt mit dem vorliegenden Urteil dahin.</w:t>
      </w:r>
    </w:p>
    <w:p>
      <w:r>
        <w:rPr>
          <w:b/>
        </w:rPr>
        <w:t>E. 11.1</w:t>
      </w:r>
    </w:p>
    <w:p>
      <w:r>
        <w:t>Bei diesem Ausgang des Verfahrens wären die Kosten dem unterliegenden Beschwerdeführer aufzuerlegen (Art. 63 Abs. 1 VwVG). Das Gesuch um Gewährung der unentgeltlichen Prozessführung ist angesichts der Umstände, dass sich seine Beschwerde betreffend Nichteintreten auf das Asylgesuch und Überstellung in den zuständigen Dublin-Mitgliedstaat (aufgrund der nunmehr präzisierten Praxis des Bundesverwaltungsgerichts) zum Zeitpunkt der Beschwerdeeinreichung als nicht zum vornherein aussichtslos erwiesen hat und von der prozessualen Bedürftigkeit auszugehen ist, antragsgemäss gutzuheissen (Art. 65 Abs. 1 VwVG). Dementsprechend sind keine Verfahrenskosten aufzuerlegen.</w:t>
      </w:r>
    </w:p>
    <w:p>
      <w:r>
        <w:rPr>
          <w:b/>
        </w:rPr>
        <w:t>E. 11.2</w:t>
      </w:r>
    </w:p>
    <w:p>
      <w:r>
        <w:t>Die Gewährung der unentgeltlichen Prozessführung umfasst den Verzicht auf die Erhebung eines Kostenvorschusses. Das entsprechende Gesuch ist allerdings mit dem vorliegenden Direktentscheid gegenstandslos geworden (Art. 63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