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D-1472/2022 vom 1. Juni 2022</w:t>
      </w:r>
    </w:p>
    <w:p>
      <w:r>
        <w:t>Bundesverwaltungsgericht, 2022-06-01, FR</w:t>
      </w:r>
    </w:p>
    <w:p>
      <w:r>
        <w:rPr>
          <w:b/>
        </w:rPr>
        <w:t xml:space="preserve">Quelle: </w:t>
      </w:r>
      <w:r>
        <w:t>https://mcp.opencaselaw.ch/entscheid/bvger_D-1472_2022</w:t>
      </w:r>
    </w:p>
    <w:p>
      <w:r>
        <w:t>FR: TAF D-1472/2022 du 1 juin 2022</w:t>
      </w:r>
    </w:p>
    <w:p>
      <w:r>
        <w:t>IT: TAF D-1472/2022 del 1 giugno 2022</w:t>
      </w:r>
    </w:p>
    <w:p>
      <w:pPr>
        <w:pStyle w:val="Heading2"/>
      </w:pPr>
      <w:r>
        <w:t>Regeste</w:t>
      </w:r>
    </w:p>
    <w:p>
      <w:r>
        <w:t>Asile et renvoi (réexamen)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Le recours est rejeté.</w:t>
      </w:r>
    </w:p>
    <w:p>
      <w:r>
        <w:rPr>
          <w:b/>
        </w:rPr>
        <w:t>E. 2</w:t>
      </w:r>
    </w:p>
    <w:p>
      <w:r>
        <w:t>Les frais de procédure, s'élevant à 1'500 francs, sont supportés par A._______. Ils sont compensés avec l'avance de même montant déjà versée, le 1er juin 2022.</w:t>
      </w:r>
    </w:p>
    <w:p>
      <w:r>
        <w:rPr>
          <w:b/>
        </w:rPr>
        <w:t>E. 3</w:t>
      </w:r>
    </w:p>
    <w:p>
      <w:r>
        <w:t>Le présent arrêt est adressé à la mandataire de la recourante ainsi qu'au SEM et à l'autorité cantonale compétente. Le juge unique : Le greffier : Yanick Felley Christian Dubois Expédition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