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D-146/2024 vom 6. Dezember 2023</w:t>
      </w:r>
    </w:p>
    <w:p>
      <w:r>
        <w:t>Bundesverwaltungsgericht, 2023-12-06, DE</w:t>
      </w:r>
    </w:p>
    <w:p>
      <w:r>
        <w:rPr>
          <w:b/>
        </w:rPr>
        <w:t xml:space="preserve">Quelle: </w:t>
      </w:r>
      <w:r>
        <w:t>https://mcp.opencaselaw.ch/entscheid/bvger_D-146_2024_d20231206</w:t>
      </w:r>
    </w:p>
    <w:p>
      <w:r>
        <w:t>FR: TAF D-146/2024 du 6 décembre 2023</w:t>
      </w:r>
    </w:p>
    <w:p>
      <w:r>
        <w:t>IT: TAF D-146/2024 del 6 dicembre 2023</w:t>
      </w:r>
    </w:p>
    <w:p>
      <w:pPr>
        <w:pStyle w:val="Heading2"/>
      </w:pPr>
      <w:r>
        <w:t>Regeste</w:t>
      </w:r>
    </w:p>
    <w:p>
      <w:r>
        <w:t>Asyl (ohne Wegweisungsvollzug) (beschleunigtes Verfahren) | Asyl (ohne Wegweisungsvollzug) (beschleunigtes Verfahren); Verfügung des SEM vom 6. Dezember 2023</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in der Regel – wie auch vorliegend – endgültig (vgl.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108 Abs. 1 AsylG i.V.m. Art. 10 COVID-19-Verordnung Asyl [SR</w:t>
      </w:r>
    </w:p>
    <w:p>
      <w:r>
        <w:t>D-146/2024 Seite 4 142.318]; Art. 48 Abs. 1 VwVG und Art. 52 Abs. 1 VwVG). Auf die Be- schwerde ist einzutreten.</w:t>
      </w:r>
    </w:p>
    <w:p>
      <w:r>
        <w:rPr>
          <w:b/>
        </w:rPr>
        <w:t>E. 2</w:t>
      </w:r>
    </w:p>
    <w:p>
      <w:r>
        <w:t>Die Beschwerde richtet sich aufgrund der Rechtsbegehren und Beschwer- debegründung nicht gegen die Kantonszuteilung sowie den diesbezügli- chen Entzug der aufschiebenden Wirkung (Dispositivziffern 6 und 7 der angefochtenen Verfügung). Gegenstand des vorliegenden Beschwerde- verfahrens bildet demnach die Frage, ob das SEM zu Recht die Flücht- lingseigenschaft des Beschwerdeführers verneint, sein Asylgesuch abge- wiesen und die Wegweisung verfügt hat. Im Übrigen ist die angefochtene Verfügung mangels Anfechtung mit Ablauf der Rechtsmittelfrist in Rechts- kraft erwachsen.</w:t>
      </w:r>
    </w:p>
    <w:p>
      <w:r>
        <w:rPr>
          <w:b/>
        </w:rPr>
        <w:t>E. 3</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5</w:t>
      </w:r>
    </w:p>
    <w:p>
      <w:r>
        <w:t>Dezember 2023, auch nicht, dass der Beschwerdeführer einen USB- Stick eingereicht hätte. Der Stellungnahme seiner damaligen Rechts- vertretung ist lediglich zu entnehmen, dass mit der fraglichen Eingabe das Original seines Militärbüchleins zu den Akten gereicht wurde (vgl. A22/3,</w:t>
      </w:r>
    </w:p>
    <w:p>
      <w:r>
        <w:t>D-146/2024 Seite 8 S. 2). Hingegen ist der Beweismitteleingabe vom 24. November 2023 zu entnehmen, dass der Beschwerdeführer unter anderem einen USB-Stick mit zwölf Audiodateien zu den Akten reichen liess, deren Inhalt er in seiner Eingabe transkribierte (vgl. A19/3). Sofern der rubrizierte Rechtsvertreter eine Verletzung der Aktenführungspflicht und des Akteneinsichtsrechts betreffend den mit Stellungnahme vom 24. November 2023 eingereichten Datenträgers geltend macht, ist auch diese Rüge klar unbegründet. Den Akten nach retournierte das SEM den USB-Stick bereits vor Ergehen des Asylentscheids und dem Gesuch um Akteneinsicht. Den Erhalt bestätigte die damalige Rechtsvertretung am 1. Dezember 2023 (vgl. A18/1).</w:t>
      </w:r>
    </w:p>
    <w:p>
      <w:r>
        <w:rPr>
          <w:b/>
        </w:rPr>
        <w:t>E. 5.1</w:t>
      </w:r>
    </w:p>
    <w:p>
      <w:r>
        <w:t>In der Beschwerde werden verschiedene formelle Rügen erhoben, wel- che vorab zu beurteilen sind, da sie gegebenenfalls geeignet sind, die Kas- sation der vorinstanzlichen Verfügung zu bewirken. So rügt der Beschwer- deführer eine Verletzung seines Anspruchs auf Akteneinsicht und der Be- gründungspflicht, womit sein Anspruch auf rechtliches Gehör schwerwie- gend verletzt sei. Zudem sei die Vorinstanz ihrer Pflicht zur vollständigen und richtigen Abklärung des rechtserheblichen Sachverhalts nicht nachge- kommen und habe das Vertretungsverhältnis zur rubrizierten Rechtsvertre- tung rechtswidrig und willkürlich ignoriert.</w:t>
      </w:r>
    </w:p>
    <w:p>
      <w:r>
        <w:rPr>
          <w:b/>
        </w:rPr>
        <w:t>E. 5.2</w:t>
      </w:r>
    </w:p>
    <w:p>
      <w:r>
        <w:t>D-146/2024 Seite 5</w:t>
      </w:r>
    </w:p>
    <w:p>
      <w:r>
        <w:rPr>
          <w:b/>
        </w:rPr>
        <w:t>E. 5.2.1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dagegen ist, dass sich die Begründung mit allen Parteistandpunkten ein- lässlich auseinandersetzt und jedes einzelne Vorbringen ausdrücklich wi- derlegt (vgl. BGE 143 III 65 E. 5.2).</w:t>
      </w:r>
    </w:p>
    <w:p>
      <w:r>
        <w:rPr>
          <w:b/>
        </w:rPr>
        <w:t>E. 5.2.2</w:t>
      </w:r>
    </w:p>
    <w:p>
      <w:r>
        <w:t>Der verfahrensrechtliche Anspruch auf Akteneinsicht (Art. 26 VwVG) bildet einen Teilgehalt des in Art. 29 Abs. 2 BV verankerten Anspruchs auf rechtliches Gehör, welcher in den Art. 29 ff. VwVG konkretisiert wird. So können sich die Betroffenen in einem Verfahren nur dann wirksam zur Sa- che äussern und geeignet Beweis führen beziehungsweise Beweismittel bezeichnen, wenn ihnen die Möglichkeit eingeräumt wird, die Unterlagen einzusehen, auf welche die Behörde ihren Entscheid stützt. Eine allfällige Einschränkung des Akteneinsichtsrechts gegenüber den um Einsicht Ersu- 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 handen einer Drittperson innerhalb der Behörde, Telefonnotizen, Anträge oder Entscheidentwürfe, ist keine Einsicht zu gewähren (vgl. BGE 115 V 303). Sofern die Einsichtnahme in ein Aktenstück verweigert wird, darf auf dieses nur dann zum Nachteil der Partei abgestellt werden, wenn ihr die Behörde von seinem für die Sache wesentlichen Inhalt Kenntnis und ihr ausserdem Gelegenheit gegeben hat, sich zu äussern und Gegenbeweis- mittel zu bezeichnen (Art. 28 VwVG).</w:t>
      </w:r>
    </w:p>
    <w:p>
      <w:r>
        <w:rPr>
          <w:b/>
        </w:rPr>
        <w:t>E. 5.2.3</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w:t>
      </w:r>
    </w:p>
    <w:p>
      <w:r>
        <w:t>D-146/2024 Seite 6 Sachumstände berücksichtigt hat (vgl. dazu AUER/BINDER,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EMARK 1995 Nr. 23 E. 5a).</w:t>
      </w:r>
    </w:p>
    <w:p>
      <w:r>
        <w:rPr>
          <w:b/>
        </w:rPr>
        <w:t>E. 5.3.1</w:t>
      </w:r>
    </w:p>
    <w:p>
      <w:r>
        <w:t>Der Beschwerdeführer rügt zunächst, die Vorinstanz habe sein Recht auf Akteneinsicht verletzt, indem sie ihm weder die Akte 9/1 (Rapporto sulla verifica dell'identità) noch die Akte 13/1 (Lingua RA), deren Bezeichnung ohnehin unklar sei, sowie Akte 26/1 (Complemento sull'analisi documenti) eröffnet habe. Letztere betreffend sei es denn willkürlich, eine Dokumen- tenanalyse vorzunehmen, welche im Entscheid keine Erwähnung finde, zu- mal die Paginierung darauf hindeute, dass die Dokumentenanalyse nach Ergehen des Asylentscheids vorgenommen worden sei. Zudem gehe aus der Akte 22/3 hervor, dass die damalige Rechtsvertretung des Beschwer- deführers einen USB-Stick zu den Akten gereicht habe. Dieser sei weder in das Aktenverzeichnis aufgenommen worden, womit das SEM seine Ak- tenführungspflicht verletzt habe, noch dem Beschwerdeführer im Rahmen der Akteneinsicht zugestellt worden.</w:t>
      </w:r>
    </w:p>
    <w:p>
      <w:r>
        <w:rPr>
          <w:b/>
        </w:rPr>
        <w:t>E. 5.3.2</w:t>
      </w:r>
    </w:p>
    <w:p>
      <w:r>
        <w:t>Betreffend die Rüge einer Verletzung des Akteneinsichtsrechts und mithin des Anspruchs auf rechtliches Gehör im Zusammenhang mit der von der Vorinstanz als «interne Akte» qualifizierten Akte 9/1 (Rapporto sulla ve- rifica dell'identità) ist festzuhalten, dass einer Abklärung zur Identität durch- aus Beweischarakter zukommt. Das SEM qualifizierte das Dokument somit zu Unrecht als «interne Akte». Die Identität des Beschwerdeführers ist je- doch unstrittig. Demnach erübrigt es sich ihm dazu das rechtliche Gehör zu gewähren (vgl. Urteil des BVGer D-1200/2020 vom 19. August 2021 E. 4.4.5). Gleiches gilt für die Akte 26/1 (Complemento sull'analisi</w:t>
      </w:r>
    </w:p>
    <w:p>
      <w:r>
        <w:t>D-146/2024 Seite 7 documenti). Zwar kann der Inhalt und mitunter gar das Ergebnis einer durchgeführten Dokumentenprüfung im Einzelfall internen und/oder ge- heimhaltungswürdigen Charakter haben, nicht zuletzt um die Verbreitung von Missbräuchen (z.B. Fälschungsanleitungen) zu vermeiden, und die Einsicht kann dementsprechend eingeschränkt oder gar verweigert werden (vgl. Urteil des BVGer E-1476/2021 vom 25. August 2021 E. 6.2.2). Am grundsätzlichen Recht auf Einsicht in diese Akte ändert sich aber nichts, denn es spricht offensichtlich nichts dagegen, dass der Beschwerdeführer nicht bloss über die Vornahme einer Dokumentenprüfung durch das SEM, sondern darüber hinaus zumindest über das geprüfte Dokument und das Prüfungsergebnis in Kenntnis gesetzt würde. Ein interner Charakter oder gar Geheimhaltungsgründe sind insoweit nicht erkennbar, geht doch aus der betreffenden Akte lediglich hervor, dass die Prüfung des Wehrpasses – soweit überprüfbar – unauffällig sei. Nach dem Gesagten hat die Vo- rinstanz zwar auch die Akte 26/1 zu Unrecht als «interne Akte» qualifiziert, doch hat sie in der angefochtenen Verfügung auch diesbezüglich nicht zum Nachteil des Beschwerdeführers darauf abgestellt und somit auch in die- sem Zusammenhang kein Recht zur Stellungnahme ausgelöst (vgl. Art. 28 VwVG). Zusammenfassend anerkennt das Bundesverwaltungsgericht betreffend die Akten 9/1 und 26/1 eine Verletzung des Akteneinsichtsrechts. Da sie jedoch nicht schwer wiegt und keine Gehörsverletzung darstellt, kann sie keine Kassation auslösen. Dem Beschwerdeführer sind indes diese vo- rinstanzlichen Akten mit dem vorliegenden Urteil zu eröffnen. Ein Anlass zur Fristansetzung zur Beschwerdeergänzung besteht nach dem Gesag- ten nicht.</w:t>
      </w:r>
    </w:p>
    <w:p>
      <w:r>
        <w:rPr>
          <w:b/>
        </w:rPr>
        <w:t>E. 5.3.3</w:t>
      </w:r>
    </w:p>
    <w:p>
      <w:r>
        <w:t>Unbegründet sind sodann die Rügen die Akte 13/1 (Lingua RA) und den eingereichten USB-Stick betreffend. Bei der Akte 13/1 handelt es sich entgegen der in der Beschwerdeschrift geäusserten Vermutung nicht um eine Lingua-Analyse, sondern lediglich um eine interne E-Mail des SEM zur Sprache der Anhörung des Beschwerdeführers. Es handelt sich somit offensichtlich um eine interne Akte, die von der verfügenden Behörde ausschliesslich für den Eigengebrauch erstellt wurde, weshalb darin keine Einsicht zu gewähren ist. Entgegen der Beschwerdeschrift ergibt sich denn aus Akte 22/3, der Stellungnahme zum Entscheidentwurf des SEM vom</w:t>
      </w:r>
    </w:p>
    <w:p>
      <w:r>
        <w:rPr>
          <w:b/>
        </w:rPr>
        <w:t>E. 5.4</w:t>
      </w:r>
    </w:p>
    <w:p>
      <w:r>
        <w:t>Ebenso unbegründet ist die Rüge in der Beschwerdeschrift, die Vor- instanz habe es unterlassen, sämtliche Vorbringen und Beweismittel des Beschwerdeführers zu prüfen. Die Vorinstanz hat nachvollziehbar und hinreichend differenziert aufge- zeigt, dass sie sich mit sämtlichen zentralen Vorbringen des Beschwerde- führers – auch seiner Behauptung, die heimatlichen Behörden seien weder schutzfähig noch schutzwillig – und den eingereichten Beweismitteln aus- einandergesetzt hat (vgl. A25/10, S. 6). Der blosse Umstand, dass der Be- schwerdeführer die Beurteilung durch die Vorinstanz nicht teilt, stellt keine Gehörsverletzung dar, sondern beschlägt die Frage der materiellen Würdi- gung.</w:t>
      </w:r>
    </w:p>
    <w:p>
      <w:r>
        <w:rPr>
          <w:b/>
        </w:rPr>
        <w:t>E. 5.5</w:t>
      </w:r>
    </w:p>
    <w:p>
      <w:r>
        <w:t>Letztlich ist denn auch der unsubstantiierte Vorwurf, die Vorinstanz habe die Vertretung des Beschwerdeführers durch den rubrizierten Rechts- anwalt «rechtswidrig und willkürlich ignoriert» (vgl. Beschwerde, S. 3), klar zurückzuweisen. Eine Begründung, inwiefern das Vertretungsverhältnis nicht beachtet wor- den sei, bleibt der Beschwerdeführer respektive seine Rechtsvertretung schuldig, zumal aus den Akten zweifelsfrei hervorgeht, dass das SEM die Mandatsanzeige vom 14. Dezember 2023 zu den Akten nahm und der Rechtsvertretung die editionspflichtigen Akten – mit Ausnahme der Akten 9/1 und 26/1 – antragsgemäss und umgehend zustellte (vgl. A30/3, A32/1 und E. 5.2 hiervor).</w:t>
      </w:r>
    </w:p>
    <w:p>
      <w:r>
        <w:rPr>
          <w:b/>
        </w:rPr>
        <w:t>E. 5.6</w:t>
      </w:r>
    </w:p>
    <w:p>
      <w:r>
        <w:t>Nach dem Gesagten besteht keine Veranlassung, den angefochtenen Entscheid aus formellen Gründen aufzuheben und an die Vorinstanz zu- rückzuweisen. Die entsprechenden (Eventual-)Begehren sind abzuweisen.</w:t>
      </w:r>
    </w:p>
    <w:p>
      <w:r>
        <w:rPr>
          <w:b/>
        </w:rPr>
        <w:t>E. 6</w:t>
      </w:r>
    </w:p>
    <w:p>
      <w:r>
        <w:t>D-146/2024 Seite 9</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Ihren ablehnenden Entscheid begründet die Vorinstanz im Wesentli- chen damit, dass die Vorbringen des Beschwerdeführers den Anforderun- gen an die Flüchtlingseigenschaft nicht standhielten. Weder seine Beweis- mittel noch seine Ausführungen in seiner Stellungnahme zum Entscheid- entwurf vermöchten daran etwas zu ändern.</w:t>
      </w:r>
    </w:p>
    <w:p>
      <w:r>
        <w:rPr>
          <w:b/>
        </w:rPr>
        <w:t>E. 7.2</w:t>
      </w:r>
    </w:p>
    <w:p>
      <w:r>
        <w:t>Dem hält der Beschwerdeführer in der Rechtsmitteleingabe im Wesent- lichen entgegen, er habe glaubhaft dargelegt, dass er durch einen «Ehren- mord» bedroht werde und die heimatlichen Behörden weder schutzwillig noch schutzfähig seien. Da die Bedrohung von einem mächtigen Stamm/Clan ausgehe, werde er gezielt asylrelevant verfolgt. Zudem be- stehe die Gefahr, dass er im Falle seiner Rückkehr durch die heimatlichen Behörden befragt und der exilpolitischen Aktivitäten verdächtigt würde. Auf- grund seiner langen Landesabwesenheit und seines Asylgesuchs in der Schweiz weise er zudem ein verschärftes Profil auf.</w:t>
      </w:r>
    </w:p>
    <w:p>
      <w:r>
        <w:rPr>
          <w:b/>
        </w:rPr>
        <w:t>E. 8.1</w:t>
      </w:r>
    </w:p>
    <w:p>
      <w:r>
        <w:t>Nach Prüfung der Akten gelangt das Bundesverwaltungsgericht – un- geachtet der persönlichen Glaubwürdigkeit des Beschwerdeführers, an welcher wohl zu zweifeln sein dürfte – zum Schluss, dass die Vorinstanz zu Recht die Flüchtlingseigenschaft des Beschwerdeführers verneint und sein Asylgesuch abgelehnt hat, da sein Vorbringen, durch die Familie</w:t>
      </w:r>
    </w:p>
    <w:p>
      <w:r>
        <w:t>D-146/2024 Seite 10 seiner Geliebten respektive deren Stamm/Clan bedroht zu werden, als nicht asylrelevant zu qualifizieren ist. Die vorinstanzlichen Erwägungen sind in keinem Punkt zu beanstanden. Es kann insoweit zur Vermeidung von Wiederholungen vorab auf die angefochtene Verfügung verwiesen werden. Die Ausführungen in der Beschwerde führen zu keiner anderen Betrachtungsweise.</w:t>
      </w:r>
    </w:p>
    <w:p>
      <w:r>
        <w:rPr>
          <w:b/>
        </w:rPr>
        <w:t>E. 8.2</w:t>
      </w:r>
    </w:p>
    <w:p>
      <w:r>
        <w:t>Dass es sich bei der ihn bedrohenden Familie um einen mächtigen Stamm/Clan handelt, ist als reine Behauptung des Beschwerdeführers zu werten, zumal allfällige Vergeltungsakte der Familie der Geliebten lediglich aus asylfremden Motiven und nicht aus einem in Art. 3 Abs. 1 AsylG aufge- zählten Grund zu befürchten wären. Folglich ist der vorgebrachten Furcht vor einer familiären Bedrohung durch «Ehrenmord» die flüchtlingsrechtli- che Relevanz abzusprechen (vgl. Urteil des BVGer E-5179/2019 vom 26. August 2020 E. 6 m.w.H.). Mit der Anordnung der vorläufigen Aufnahme aufgrund der Unzulässigkeit des Vollzuges der Wegweisung wurde zudem sowohl der allgemeinen kriegsgeprägten Situation als auch der Möglichkeit, dass dem Beschwer- deführer bei seiner Rückkehr allenfalls eine Gefahr durch die Familie droht, Rechnung getragen. Faktisch verfügt er damit über ein längerfristiges Auf- enthaltsrecht in der Schweiz, denn solange ihm in Syrien eine Gefahr droht, muss er nicht mit einer Aufhebung der vorläufigen Aufnahme rechnen (Art. 84 Abs. 2 AIG).</w:t>
      </w:r>
    </w:p>
    <w:p>
      <w:r>
        <w:rPr>
          <w:b/>
        </w:rPr>
        <w:t>E. 8.3</w:t>
      </w:r>
    </w:p>
    <w:p>
      <w:r>
        <w:t>Gemäss Praxis führt weder eine illegale Ausreise aus Syrien noch das Stellen eines Asylgesuchs im Ausland zur begründeten Furcht, bei einer Rückkehr in das Heimatland mit beachtlicher Wahrscheinlichkeit einer menschenrechtswidrigen Behandlung ausgesetzt zu werden. Angesichts der Tatsache, dass der Beschwerdeführer im Zeitpunkt der Ausreise keiner Verfolgungssituation ausgesetzt war, und weder bei ihm noch bei seiner Familie eine besondere politische Exponiertheit vorliegt (vgl. A16/14 F71 ff.), ist das Vorliegen konkreter Indizien für die Annahme einer begrün- deten Furcht vor künftiger Verfolgung im Sinne der Rechtsprechung (vgl. BVGE 2011/51 E. 6.2 sowie BVGE 2011/50 E. 3.1.1) auch in dieser Hinsicht zu verneinen. Daran vermag der Umstand nichts zu ändern, dass der Beschwerdeführer aufgrund seiner längeren Landesabwesenheit bei einer (angesichts seiner vorläufigen Aufnahme in der Schweiz) hypotheti- schen Wiedereinreise in Syrien wahrscheinlich einer Befragung durch die heimatlichen Behörden unterzogen würde.</w:t>
      </w:r>
    </w:p>
    <w:p>
      <w:r>
        <w:t>D-146/2024 Seite 11</w:t>
      </w:r>
    </w:p>
    <w:p>
      <w:r>
        <w:rPr>
          <w:b/>
        </w:rPr>
        <w:t>E. 8.4</w:t>
      </w:r>
    </w:p>
    <w:p>
      <w:r>
        <w:t>Ferner hat er auch zu keinem Zeitpunkt geltend gemacht, er sei exilpo- litisch in Erscheinung getreten, weshalb auch unter diesem Gesichtspunkt nicht davon auszugehen ist, er könnte nach einer Rückkehr als regime- feindliche Person ins Blickfeld der syrischen Behörden geraten (vgl. Urteil des BVGer D-3839/2013 vom 28. Oktober 2015 E. 6.4.3 [als Referenzurteil publiziert]).</w:t>
      </w:r>
    </w:p>
    <w:p>
      <w:r>
        <w:rPr>
          <w:b/>
        </w:rPr>
        <w:t>E. 8.5</w:t>
      </w:r>
    </w:p>
    <w:p>
      <w:r>
        <w:t>Nach dem Gesagten ist festzustellen, dass es dem Beschwerdeführer nicht gelungen ist, die Flüchtlingseigenschaft nachzuweisen oder glaubhaft zu machen. Die Vorinstanz hat sein Asylgesuch zu Recht abgelehnt.</w:t>
      </w:r>
    </w:p>
    <w:p>
      <w:r>
        <w:rPr>
          <w:b/>
        </w:rPr>
        <w:t>E. 9</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Das Gesuch um Verzicht auf die Erhebung eines Kostenvorschusses (Art. 63 Abs. 4 VwVG) ist mit vorliegendem Direktentscheid gegenstands- los geworden.</w:t>
      </w:r>
    </w:p>
    <w:p>
      <w:r>
        <w:rPr>
          <w:b/>
        </w:rPr>
        <w:t>E. 11.2</w:t>
      </w:r>
    </w:p>
    <w:p>
      <w:r>
        <w:t>Die Beschwerdebegehren erwiesen sich nach dem Gesagten als aus- sichtslos, weshalb das Gesuch um Gewährung der unentgeltlichen Pro- zessführung – ungeachtet der nachgewiesenen Bedürftigkeit – abzuwei- sen ist (Art. 65 Abs. 1 VwVG).</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D-146/2024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