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D-146/2013 vom 23. Januar 2013</w:t>
      </w:r>
    </w:p>
    <w:p>
      <w:r>
        <w:t>Bundesverwaltungsgericht, 2013-01-23, DE</w:t>
      </w:r>
    </w:p>
    <w:p>
      <w:r>
        <w:rPr>
          <w:b/>
        </w:rPr>
        <w:t xml:space="preserve">Quelle: </w:t>
      </w:r>
      <w:r>
        <w:t>https://mcp.opencaselaw.ch/entscheid/bvger_D-146_2013</w:t>
      </w:r>
    </w:p>
    <w:p>
      <w:r>
        <w:t>FR: TAF D-146/2013 du 23 janvier 2013</w:t>
      </w:r>
    </w:p>
    <w:p>
      <w:r>
        <w:t>IT: TAF D-146/2013 del 23 gennaio 2013</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2 AsylG, Art. 48 Abs. 1 sowie Art. 52 VwVG). In diesem Zusammenhang ist zu beachten, dass das schweizerische Parlament am 28. September 2012 gestützt auf Art. 165 Abs. 1 der Bundesverfassung der Schweizerischen Eidgenossenschaft vom 18. April 1999 (BV, SR 101) Teile der neuesten Revision des Asylgesetzes in der Form eines dringlichen Bundesgesetzes erliess und die entsprechenden Gesetzesbestimmungen am 29. September 2012 in Kraft traten. Gemäss dem neuen Art. 108 Abs. 2 AsylG beträgt die Beschwerdefrist bei Entscheiden nach Art. 40 in Verbindung mit Art. 6a Absatz 2 AsylG - im Unterschied zur früheren Regelung - lediglich noch fünf Tage. Nach dem Gesagten ist auf die Beschwerde - unter Vorbehalt der nachfolgenden Erwägungen - einzutreten. Wie sich dem Dispositiv der angefochtenen Verfügung entnehmen lässt, trat das BFM auf die Asylgesuche der Beschwerdeführenden vom 27. November 2012 ein, weshalb auf den Antrag, es sei gegebenenfalls auf die Asylgesuche einzutreten, mangels Rechtsschutzinteresses nicht einzutreten ist.</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eines Schriftenwechsels verzichtet.</w:t>
      </w:r>
    </w:p>
    <w:p>
      <w:r>
        <w:rPr>
          <w:b/>
        </w:rPr>
        <w:t>E. 4.1</w:t>
      </w:r>
    </w:p>
    <w:p>
      <w:r>
        <w:t>Das BFM hat die Flüchtlingseigenschaft der Beschwerdeführenden verneint, ihre Asylgesuche abgelehnt und sie aus der Schweiz weggewiesen. Die Beschwerdeführenden lassen in ihrer Beschwerde sinngemäss lediglich die Aufhebung der Verfügung betreffend den Wegweisungsvollzug beantragen (Ziffern 4 und 5 des Dispositivs). Die Verneinung der Flüchtlingseigenschaft, die Ablehnung des Asylgesuchs und die Wegweisung an sich (vgl. Ziffern 1 - 3 des Dispositivs der Verfügung vom 4. Januar 2013) blieben unangefochten und sind mit Ablauf der Beschwerdefrist in Rechtskraft erwachsen. Gegenstand des vorliegenden Beschwerdeverfahrens bildet somit die Prüfung, ob die Vorinstanz den Wegweisungsvollzug zu Recht angeordnet hat.</w:t>
      </w:r>
    </w:p>
    <w:p>
      <w:r>
        <w:rPr>
          <w:b/>
        </w:rPr>
        <w:t>E. 4.2.1</w:t>
      </w:r>
    </w:p>
    <w:p>
      <w:r>
        <w:t>Der Vollzug ist nicht zulässig, wenn völkerrechtliche Verpflichtungen der Schweiz einer Weiterreise der Ausländerin oder des Ausländers in den Heimat-, Herkunfts- oder in einen Drittstaat entgegenstehen (Art. 83 Abs. 3 des Bundesgesetzes über die Ausländerinnen und Ausländer vom 16. Dezember 2005 [AuG,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4.2.2</w:t>
      </w:r>
    </w:p>
    <w:p>
      <w:r>
        <w:t>Der Grundsatz der Nichtrückschiebung schützt nur Personen, die die Flüchtlingseigenschaft erfüllen. Da rechtskräftig feststeht, dass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(Serbien), den der Schweizerische Bundesrat am 6. März 2009 als verfolgungssicheren Staat (Safe Country) bezeichnet hat,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Entscheidungen und Mitteilungen der Schweizerischen Asylrekurskommission [EMARK] 2001 Nr. 16 S. 122, mit weiteren Hinweisen; EGMR, Bensaid gegen Grossbritannien, Urteil vom 6. Februar 2001, Recueil des arrêts et décisions 2001-I, S. 327 ff.). Das ist ihnen vorliegend jedoch nicht gelungen, weil die Wahabiten, entgegen den Schilderungen des Beschwerdeführers (vgl. A3/12 Ziff. 7.02 S. 8), weder die serbische Polizei noch die serbischen Gerichte unterwandert und somit auch nicht faktisch das Sagen haben. Demzufolge können sich die Beschwerdeführenden - selbst bei Wahrunterstellung ihrer übrigen Vorbringen - nicht auf begründete Furcht berufen; vielmehr könnten sie ohne Weiteres wirksamen behördlichen Schutz in Anspruch nehmen. Dementsprechend gelingt es den Beschwerdeführenden nicht, die gesetzliche Regelvermutung umzustossen, wonach in Serbien eine asylrelevante Verfolgung nicht stattfinde. Auch die allgemeine Menschenrechtssituation in ihrem Heimatstaat lässt den Wegweisungsvollzug zum heutigen Zeitpunkt nicht als unzulässig erscheinen. Nach dem Gesagten ist der Vollzug der Wegweisung sowohl im Sinne der asyl- als auch der völkerrechtlichen Bestimmungen zulässig.</w:t>
      </w:r>
    </w:p>
    <w:p>
      <w:r>
        <w:rPr>
          <w:b/>
        </w:rPr>
        <w:t>E. 4.3.1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4.3.2</w:t>
      </w:r>
    </w:p>
    <w:p>
      <w:r>
        <w:t>Es herrscht in Serbien unbestrittenermassen keine Situation allgemeiner Gewalt. Es sind deshalb derzeit keine konkreten Anhaltspunkte dafür ersichtlich, dass die Beschwerdeführenden bei einer Rückführung nach Serbien einer konkreten Gefährdung im Sinne von Art. 83 Abs. 4 AuG ausgesetzt wären. Dementsprechend ist der Wegweisungsvollzug dorthin als generell zumutbar zu qualifzieren.</w:t>
      </w:r>
    </w:p>
    <w:p>
      <w:r>
        <w:rPr>
          <w:b/>
        </w:rPr>
        <w:t>E. 4.3.3</w:t>
      </w:r>
    </w:p>
    <w:p>
      <w:r>
        <w:t>Es sprechen auch keine individuellen Gründe gegen die Zumutbarkeit der Rückkehr der Beschwerdeführenden. Das BFM ist zu Recht davon ausgegangen, dass zumindest der Beschwerdeführer in Serbien über ein familiäres und soziales Beziehungsnetz verfügt (A3/12 Ziff. 3.01 S. 5, vgl. auch A4/11 Ziff. 3.01 S. 5). Zudem ist es dem Beschwerdeführer zuzumuten, im Heimatstaat wieder seiner gewohnten Erwerbstätigkeit als Bäcker und Konditor nachzugehen, um wie schon vor der Emigration aus dem Heimatstaat für den notwendigen Unterhalt für sich und seine Familie zu sorgen (A3/12 Ziff. 1.17.05 S. 4).</w:t>
      </w:r>
    </w:p>
    <w:p>
      <w:r>
        <w:rPr>
          <w:b/>
        </w:rPr>
        <w:t>E. 4.3.4</w:t>
      </w:r>
    </w:p>
    <w:p>
      <w:r>
        <w:t>Nach dem Gesagten erweist sich der Vollzug der Wegweisung auch als zumutbar.</w:t>
      </w:r>
    </w:p>
    <w:p>
      <w:r>
        <w:rPr>
          <w:b/>
        </w:rPr>
        <w:t>E. 4.4</w:t>
      </w:r>
    </w:p>
    <w:p>
      <w:r>
        <w:t>Die Beschwerdeführenden verfügen über die für eine Rückkehr notwendigen Reisedokumente, weshalb der Vollzug der Wegweisung auch als möglich zu bezeichnen ist (Art. 83 Abs. 2 AuG).</w:t>
      </w:r>
    </w:p>
    <w:p>
      <w:r>
        <w:rPr>
          <w:b/>
        </w:rPr>
        <w:t>E. 4.5</w:t>
      </w:r>
    </w:p>
    <w:p>
      <w:r>
        <w:t>Zusammenfassend hat die Vorinstanz den Wegweisungsvollzug zu Recht als zulässig, zumutbar und möglich erachtet. Nach dem Gesagten fällt eine Anordnung der vorläufigen Aufnahme ausser Betracht (Art. 83 Abs. 1 - 4 AuG).</w:t>
      </w:r>
    </w:p>
    <w:p>
      <w:r>
        <w:rPr>
          <w:b/>
        </w:rPr>
        <w:t>E. 5</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6.1</w:t>
      </w:r>
    </w:p>
    <w:p>
      <w:r>
        <w:t>Das Gesuch um Gewährung der unentgeltlichen Rechtspflege gemäss Art. 65 Abs. 1 VwVG ist abzuweisen, da die Begehren - wie sich aus den vorangehenden Erwägungen ergibt - als aussichtslos zu bezeichnen sind, weshalb die kumulativen Voraussetzungen für die Gewährung der unentgeltlichen Rechtspflege nicht erfüllt sind.</w:t>
      </w:r>
    </w:p>
    <w:p>
      <w:r>
        <w:rPr>
          <w:b/>
        </w:rPr>
        <w:t>E. 6.2</w:t>
      </w:r>
    </w:p>
    <w:p>
      <w:r>
        <w:t>Bei diesem Ausgang des Verfahrens sind die Kosten den Beschwerdeführenden aufzuerlegen (Art. 63 Abs. 1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