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D-1463/2019 vom 13. August 2021</w:t>
      </w:r>
    </w:p>
    <w:p>
      <w:r>
        <w:t>Bundesverwaltungsgericht, 2021-08-13, IT</w:t>
      </w:r>
    </w:p>
    <w:p>
      <w:r>
        <w:rPr>
          <w:b/>
        </w:rPr>
        <w:t xml:space="preserve">Quelle: </w:t>
      </w:r>
      <w:r>
        <w:t>https://mcp.opencaselaw.ch/entscheid/bvger_D-1463_2019</w:t>
      </w:r>
    </w:p>
    <w:p>
      <w:r>
        <w:t>FR: TAF D-1463/2019 du 13 août 2021</w:t>
      </w:r>
    </w:p>
    <w:p>
      <w:r>
        <w:t>IT: TAF D-1463/2019 del 13 agosto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é legittimato ad aggravarsi contro di essa. I requisiti relativi ai termini di ricorso (art. 108 cpv. 1 LAsi), alla forma e al contenuto dell'atto di ricorso (art. 52 cpv. 1 PA) sono soddisfatti. Occorre pertanto entrare nel merito del gravame.</w:t>
      </w:r>
    </w:p>
    <w:p>
      <w:r>
        <w:rPr>
          <w:b/>
        </w:rPr>
        <w:t>E. 2</w:t>
      </w:r>
    </w:p>
    <w:p>
      <w:r>
        <w:t>Ai sensi dell'art. 111a cpv. 1 LAsi si rinuncia allo scambio degli scritti.</w:t>
      </w:r>
    </w:p>
    <w:p>
      <w:r>
        <w:rPr>
          <w:b/>
        </w:rPr>
        <w:t>E. 3</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La determinazione dei fatti e l'applicazione della legge non sono aspetti disgiunti (cfr. Isabelle Häner, in: Häner/Waldmann, Das erstinstanzliche Verwaltungsverfahren, 2008, n. 34). Significativo è il substrato fattuale per le condizioni di applicazione della norma giuridica (cfr. sentenza del Tribunale D-291/2021 del 9 marzo 2021 consid. 7.2.2). In concreto, l'autorità deve procurarsi la documentazione necessaria alla trattazione del caso, chiarire le circostanze giuridiche ed amministrare a tal fine le opportune prove a riguardo (cfr. DTF 140 I 285 consid. 6.3.1). Il principio inquisitorio non dispensa le parti dal dovere di collaborare all'accertamento dei fatti ed in modo particolare dall'onere di provare quanto sia in loro facoltà e quanto l'amministrazione o il giudice non siano in grado di delucidare con mezzi propri (art. 13 PA ed art. 8 LAsi; sentenza del Tribunale federale 2C_787/2016 del 18 gennaio 2017 consid. 3.1; DTAF 2019 I/6 consid. 5.1).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5.1</w:t>
      </w:r>
    </w:p>
    <w:p>
      <w:r>
        <w:t>Nella querelata decisione, l'autorità di prima istanza non ha rimesso in discussione l'incorporazione dell'insorgente nelle forze militari del suo Paese d'origine. Essa ha nondimeno rilevato che il profilo dell'insorgente non sarebbe tale da giustificare il riconoscimento dello statuto di rifugiato. Il ricorrente avrebbe invero svolto l'attività di soldato limitatamente ad un'unica provincia senza essere stato mai identificato, minacciato o attaccato dai Talebani o da altri gruppi. Sarebbe stato attivo principalmente come sanitario senza avere contatti con la coalizione. Le allegazioni a proposito del fatto di essere stato preso di mira dai Talebani si sarebbero inoltre rivelate inverosimili. Le vicissitudini con i parenti a causa dei terreni poi, non sarebbero pertinenti ai fini della concessione dell'asilo. In primo luogo, l'interessato avrebbe fatto effettivamente capo alla protezione del suo Stato, le cui autorità si sarebbero messe a disposizione nell'ottica di assicurare alla giustizia i predetti. Inoltre, tali eventi difetterebbero del necessario nesso causale con l'espatrio, essendosi gli ultimi contatti con tali persone prodotti diverso tempo addietro.</w:t>
      </w:r>
    </w:p>
    <w:p>
      <w:r>
        <w:rPr>
          <w:b/>
        </w:rPr>
        <w:t>E. 5.2</w:t>
      </w:r>
    </w:p>
    <w:p>
      <w:r>
        <w:t>Nel proprio gravame il ricorrente, dopo aver richiamato e precisato i fatti esposti in corso di procedura, avversa la valutazione dell'autorità inferiore. Egli si sofferma innanzitutto sulla pretesa inverosimiglianza relativa all'episodio dell'imboscata da parte dei Talebani. Nel resoconto da lui fornito non sarebbe riscontrabile alcuna contraddizione. Nel corso della seconda audizione egli avrebbe infatti risposto ad un diverso quesito, in correlazione con quanto esposto poc'anzi a proposito del modus operandi del gruppo fondamentalista nel controllo delle persone. D'altra parte, la risposta fornita dall'insorgente alla questione a sapere se egli fosse o meno stato personalmente controllato si sarebbe rivelata poco chiara e ciò nonostante la SEM non avrebbe approfondito tale aspetto nemmeno dopo il rinvio degli atti da parte del Tribunale. Il ricorrente apparterrebbe alla categoria di persone particolarmente esposte al rischio di persecuzione in virtù della sua incorporazione nelle forze militari afgane, aspetto, quest'ultimo, ritenuto verosimile nel provvedimento impugnato. Occorrerebbe dunque concludere che le dichiarazioni dell'insorgente siano verosimili nel loro insieme e che la decisione impugnata sia stata resa in base ad un accertamento errato ed incompleto dei fatti giuridicamente rilevanti.</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6.3</w:t>
      </w:r>
    </w:p>
    <w:p>
      <w:r>
        <w:t>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D-2243/2015 del 15 dicembre 2017 consid. 8.4.1).</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7.1</w:t>
      </w:r>
    </w:p>
    <w:p>
      <w:r>
        <w:t>Ora, partendo dal presupposto che l'incorporazione nelle forze di sicurezza afgane non è stata rimessa in discussione dall'autorità inferiore, occorre innanzitutto chiedersi il ricorrente sia o meno esposto ad un rischio di subire pregiudizi rilevanti in materia d'asilo nell'eventualità di un rientro in patria.</w:t>
      </w:r>
    </w:p>
    <w:p>
      <w:r>
        <w:rPr>
          <w:b/>
        </w:rPr>
        <w:t>E. 7.2</w:t>
      </w:r>
    </w:p>
    <w:p>
      <w:r>
        <w:t>Nel contesto afgano la giurisprudenza riconosce alcune categorie di persone particolarmente esposte al pericolo di subire persecuzioni (cfr. sentenze del Tribunale D-780/2017 del 13 giugno 2018, consid. 5.5; D-3846/2017 del 19 marzo 2018, consid. 3.3). Si tratta di coloro che sono considerati, a torto o a ragione, vicini al governo o alla coalizione internazionale (cfr. sentenze del Tribunale D-2112/2017 del 17 gennaio 2019 consid. 5.2; E-4258/2016 del 20 dicembre 2017 consid. 5.3.2) come pure degli stessi membri delle forze di sicurezza e delle milizie filogovernative (cfr. sentenza del Tribunale D-1907/2020 del 3 febbraio 2021 consid. 12.1). Dando per assodato un rischio astratto di intimidazioni ed altri atti pregiudizievoli, quanto risulta decisivo è però anche in quest'ambito l'esistenza di inizi concreti che lascino presagire l'avvento di persecuzioni determinanti in materia d'asilo in un futuro prossimo (cfr. sentenze del Tribunale D-3999/2020 del 2 settembre 2020 consid. 10.1; D-3846/2017 del 19 marzo 2018 consid. 3.4). Per valutare tale aspetto, occorre tenere segnatamente in considerazione l'esistenza di pregresse minacce da parte degli insorti, di un'eventuale identificazione ad opera di tali gruppi armati, come pure il grado di esposizione pubblica dell'interessato (cfr. sentenze D-6200/2017 del 26 marzo 2019 consid. 6.3, D-780/2017 consid. 5.7; E-4942/2016 del 3 luglio 2018 consid. 4.3</w:t>
      </w:r>
    </w:p>
    <w:p>
      <w:r>
        <w:rPr>
          <w:b/>
        </w:rPr>
        <w:t>E. 7.3</w:t>
      </w:r>
    </w:p>
    <w:p>
      <w:r>
        <w:t>Alla luce della valutazione di cui al provvedimento avversato e delle censure proposte nel memoriale ricorsuale, va a questo punto determinato se il ricorrente abbia o meno avuto contatti diretti con i Talebani prima di lasciare il proprio Paese d'origine. Nel corso dell'audizione sulle generalità questi ha invero menzionato il fatto che tale gruppo armato avrebbe "tentato di prenderlo qualche volta", precisando dipoi che si sarebbe trattato di un solo episodio nel corso del quale, lui ed altri commilitoni, sarebbero stati circondati per poi riuscire a fuggire (cfr. atto A9, pag. 11-13). Sennonché, nella successiva e più dettagliata audizione sui motivi d'asilo, l'insorgente si è limitato a contestualizzare da un punto di vista generale il modo di agire dei Talebani nei confronti di coloro che sono sospettati di appartenere alle forze di sicurezza, precisando che in caso di dubbio verrebbero rilevate le impronte digitali e, ad incorporazione confermata, si rischierebbe la decapitazione. Poco dopo, egli ha pure espressamente escluso con una formulazione chiara di essere stato personalmente oggetto di episodi di tale genere (cfr. atto A15, pag. 7). Così, mal si comprende innanzitutto quali aspetti avrebbero dovuto essere istruiti maggiormente, rispettivamente correttamente, dalla SEM. Non è infatti compito delle autorità elvetiche competenti in materia d'asilo ricercare, in presenza di indicazioni contrarie da parte del richiedente, ipotetiche persecuzioni pregresse. Inoltre, posta la manifesta contraddittorietà tra quanto asserito nel rilevamento delle generalità ed il successivo resoconto fornito nel contesto di un'audizione più approfondita, si può partire dall'assunto che l'episodio inizialmente addotto non abbia avuto luogo, rispettivamente che le dichiarazioni in tal senso non ossequino ai criteri di verosimiglianza.</w:t>
      </w:r>
    </w:p>
    <w:p>
      <w:r>
        <w:rPr>
          <w:b/>
        </w:rPr>
        <w:t>E. 7.4</w:t>
      </w:r>
    </w:p>
    <w:p>
      <w:r>
        <w:t>Poste queste premesse, si necessita quindi di determinare se la sola incorporazione nelle forze di sicurezza sia in concreto tale da giustificare un fondato timore di persecuzioni. Ora, dagli atti di causa non risulta che l'insorgente sia stato identificato dagli insorti quale appartenente all'esercito regolare. Il ricorrente ha peraltro precisato di aver svolto la sua attività principalmente quale sanitario nella provincia di Jowzjan, rifornendo di tanto in tanto altri luoghi. Egli non ha dipoi ottenuto un grado militare di spessore né ha affermato di aver collaborato direttamente con le forze di occupazione straniere. Pertanto, la sua esposizione non è oggettivamente tale da comportare un rischio di persecuzione intrinseco e indipendente dall'individuazione. Per quanto egli appartenga ad una categoria sensibile, la valutazione dell'autorità inferiore quanto all'insussistenza di un timore di subire persecuzione causato dalla pregressa attività professionale non presta così il fianco a critiche.</w:t>
      </w:r>
    </w:p>
    <w:p>
      <w:r>
        <w:rPr>
          <w:b/>
        </w:rPr>
        <w:t>E. 7.5</w:t>
      </w:r>
    </w:p>
    <w:p>
      <w:r>
        <w:t>Da ultimo, per quanto concerne le problematiche derivanti dalla faida famigliare che avrebbe portato all'uccisione del padre dell'insorgente e che quest'ultimo ha pure adotto quale motivo a sostegno della sua domanda, occorre constatare come i fatti in questione risalgano a diversi anni addietro, difettando pertanto del necessario nesso causale con l'espatrio. Per stessa ammissione del ricorrente, gli ultimi contatti con gli aggressori, che non gli avrebbero peraltro causato problematiche rilevanti (cfr. atto A15, pag. 9) si sarebbero svolti due anni prima del suo espatrio (cfr. atto A15, pag. 8). Da quanto affermato in corso di procedura, si deduce peraltro implicitamente che le tempistiche dell'espatrio fossero piuttosto da ricondurre alle preoccupazioni derivanti da ipotetiche azioni dei Talebani.</w:t>
      </w:r>
    </w:p>
    <w:p>
      <w:r>
        <w:rPr>
          <w:b/>
        </w:rPr>
        <w:t>E. 8</w:t>
      </w:r>
    </w:p>
    <w:p>
      <w:r>
        <w:t>La SEM ha quindi a giusto titolo negato la qualità di rifugiato al ricorrente. Il ricorso, sul punto di questione dell'asilo e della qualità di rifugiato va conseguentemente respinto.</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10.3</w:t>
      </w:r>
    </w:p>
    <w:p>
      <w:r>
        <w:t>Le condizioni prescritte dall'art. 83 LStrI sono di natura alternativa. È sufficiente la mancata realizzazione di una di esse perché l'allontanamento risulti ineseguibile (cfr. DTAF 2011/24 consid. 10.2).</w:t>
      </w:r>
    </w:p>
    <w:p>
      <w:r>
        <w:rPr>
          <w:b/>
        </w:rPr>
        <w:t>E. 11.1</w:t>
      </w:r>
    </w:p>
    <w:p>
      <w:r>
        <w:t>Nella querelata decisione, l'autorità di prima istanza ha ritenuto adempiuti i presupposti di legge per rinvio del ricorrente a Kabul. In particolare, l'esecuzione dell'allontanamento verso tale luogo nel contesto di un'alternativa di domicilio interna andrebbe considerata ragionevolmente esigibile. L'interessato adempirebbe infatti alle circostanze personali favorevoli prescritte dalla giurisprudenza.</w:t>
      </w:r>
    </w:p>
    <w:p>
      <w:r>
        <w:rPr>
          <w:b/>
        </w:rPr>
        <w:t>E. 11.2</w:t>
      </w:r>
    </w:p>
    <w:p>
      <w:r>
        <w:t>In sede ricorsuale, l'insorgente avversa tale valutazione. A suo dire, una sua installazione nella capitale risulterebbe inesigibile. Nonostante la presenza di alcuni zii, non si potrebbe infatti ritenere che il ricorrente disponga di una solida rete sociale o che possa procacciarsi il minimo esistenziale.</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12.3</w:t>
      </w:r>
    </w:p>
    <w:p>
      <w:r>
        <w:t>Nell'ambito di un'analisi del Paese dal punto di vista della sicurezza e della situazione umanitaria ai sensi dell'art. 83 cpv. 4 LStrI, questo Tribunale è giunto alla conclusione che la situazione in Afghanistan, già critica, è ulteriormente peggiorata nell'ultimo periodo. Dal punto di vista umanitario, la situazione nelle aree rurali è a tal punto grave da potersi considerare realizzate le condizioni di minaccia esistenziale ai sensi dell'art. 83 cpv. 4 LStrI (cfr. sentenza del Tribunale D-5800/2016 del 13 ottobre 2017, pubblicata quale sentenza di riferimento, in particolare consid. 7.6). Anche nella capitale sia la situazione securitaria che quella umanitaria, in particolare a seguito dell'arrivo di un alto numero di rifugiati interni, si sono sensibilmente aggravate (cfr. sentenza del Tribunale D-5800/2016 consid. 8).</w:t>
      </w:r>
    </w:p>
    <w:p>
      <w:r>
        <w:rPr>
          <w:b/>
        </w:rPr>
        <w:t>E. 12.4</w:t>
      </w:r>
    </w:p>
    <w:p>
      <w:r>
        <w:t>Su tali presupposti, l'esecuzione dell'allontanamento verso Kabul va di principio ritenuta inesigibile, a meno che l'interessato possa avvalersi di un insieme di circostanze personali particolarmente favorevoli in forza delle quali vi sia eccezionalmente da concludere per l'esigibilità (giovane età; dell'assenza di prole; buone condizioni di salute; esistenza di una solida rete di rapporti sociali; possibilità di procacciarsi il minimo esistenziale e di trovare un alloggio in loco; cfr. sentenza del Tribunale D-5800/2016 consid. 8.4.1; si veda anche DTAF 2011/7). Ciò vale, mutatis mutandis, anche laddove il soggiorno nella capitale sia da valutarsi quale alternativa di soggiorno interna (Aufenthaltsalternative; cfr. DTAF 2011/49 consid. 7.3.5 e sentenza del Tribunale D-1461/2016 del 14 marzo 2018 consid. 11.3). In una tale costellazione occorre nondimeno mostrarsi particolarmente cauti quo all'adempimento delle precitate condizioni rispetto ad una persona che non ha mai realmente risieduto nella capitale (cfr. sentenza del Tribunale D-3223/2018 del 6 ottobre 2020 consid. 14.6).</w:t>
      </w:r>
    </w:p>
    <w:p>
      <w:r>
        <w:rPr>
          <w:b/>
        </w:rPr>
        <w:t>E. 12.5</w:t>
      </w:r>
    </w:p>
    <w:p>
      <w:r>
        <w:t>Nel caso in narrativa, l'insorgente proviene dalla provincia di Baghlan. Il suo allontanamento verso tale luogo risulta pertanto inesigibile. Per quanto riguarda l'esistenza di un'alternativa di domicilio a Kabul, occorre constatare come alcune delle circostanze sopracitate risultino incontestabilmente adempiute. Non di meno, viste le particolarità del caso di specie, la questione va approcciata con particolare prudenza. Sebbene il ricorrente abbia effettivamente riferito di essersi reso nella capitale per circa un mese e mezzo col fratello onde svolgere una determinata attività lucrativa (cfr. atto A9, pag. 17 e atto A15, pag. 9), sulla base degli atti di causa non si può partire dall'assunto che egli abbia effettivamente risieduto a Kabul. L'insorgente ha peraltro precisato di non essere più in contatto con il fratello e che nell'ultima occasione in cui lo avrebbe sentito, questi si trovava a (...). Le visite presso i parenti, per quanto regolari, non possono dipoi essere assimilate a residenza (cfr. sentenza D-3223/2018 consid. 14.6). A questo proposito, la SEM ha a giusto titolo messo in risalto le affermazioni dell'insorgente a proposito del fatto che diversi suoi zii si sarebbero installati nella capitale. Non di meno, egli ha pure lasciato intendere che questi risiederebbero in una singola stanza e che ad un certo punto della sua vita, già allorquando il ricorrente si trovava presso tali famigliari a Baghlan, avrebbe percepito di doversene andare in quanto "abbastanza grande" (cfr. atto A15, pag. 5). In assenza di ulteriori accertamenti quo all'effettiva possibilità di accoglienza da parte di tali persone, non si può dunque concludere che i fattori particolarmente favorevoli ai sensi della giurisprudenza topica siano in concreto adempiuti. Nel complesso, il Tribunale giunge quindi alla conclusione che alla luce della specificità della fattispecie in esame, l'impatto di un allontanamento dell'insorgente verso l'Afghanistan sarebbe a tal punto grave da porlo in una situazione di minaccia esistenziale.</w:t>
      </w:r>
    </w:p>
    <w:p>
      <w:r>
        <w:rPr>
          <w:b/>
        </w:rPr>
        <w:t>E. 13</w:t>
      </w:r>
    </w:p>
    <w:p>
      <w:r>
        <w:t>Posto quanto precede, il ricorso è accolto limitatamente all'esecuzione dell'allontanamento e per il resto è respinto. Le SEM è invitata a regolamentare le condizioni del soggiorno del ricorrente conformemente alle disposizioni sull'ammissione provvisoria. A tal riguardo è opportuno osservare che la SEM è tenuta a verificare periodicamente se le condizioni per l'ammissione provvisoria siano ancora soddisfatte (art. 84 cpv. 1 LStrI in relazione con l'art. 83 cpv. 1 LStrI).</w:t>
      </w:r>
    </w:p>
    <w:p>
      <w:r>
        <w:rPr>
          <w:b/>
        </w:rPr>
        <w:t>E. 14.1</w:t>
      </w:r>
    </w:p>
    <w:p>
      <w:r>
        <w:t>Visto l'esito della procedura, delle spese processuali ridotte sarebbero da porre a carico del ricorrente (art. 63 cpv. 1 e 5 PA nonché art. 3 lett. b del regolamento sulle tasse e sulle spese ripetibili nelle cause dinanzi al Tribunale amministrativo federale del 21 febbraio 2008 [TS-TAF, RS 173.320.2]). Ciononostante, non essendo stata l'impugnativa priva di possibilità di esito favorevole al momento dell'inoltro, non sono riscosse le spese processuali (art. 65 PA). Nessuna spesa processuale è messa a carico dell'autorità inferiore parzialmente soccombente (art. 63 cpv. 2 PA).</w:t>
      </w:r>
    </w:p>
    <w:p>
      <w:r>
        <w:rPr>
          <w:b/>
        </w:rPr>
        <w:t>E. 14.2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le quali hanno preminenza rispetto all'onorario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e conto tenuto della parziale soccombenza l'indennità per spese ripetibili è fissata d'ufficio dal Tribunale sulla base degli atti di causa in CHF 350.- (disborsi e indennità supplementare in rapporto all'IVA compresi) (art. 14 cpv. 2 TS-TAF, art. 9 cpv. 1 lett. c TS-TAF, art. 7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